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5EA41">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w:t>
      </w:r>
      <w:r>
        <w:rPr>
          <w:rFonts w:hint="eastAsia" w:ascii="Arial" w:hAnsi="Arial" w:cs="Arial"/>
          <w:b/>
          <w:sz w:val="24"/>
          <w:szCs w:val="24"/>
          <w:lang w:val="en-US" w:eastAsia="zh-CN"/>
        </w:rPr>
        <w:t>5</w:t>
      </w:r>
      <w:r>
        <w:rPr>
          <w:rFonts w:hint="eastAsia" w:ascii="Arial" w:hAnsi="Arial" w:cs="Arial"/>
          <w:b/>
          <w:sz w:val="24"/>
          <w:szCs w:val="24"/>
        </w:rPr>
        <w:t>1</w:t>
      </w:r>
      <w:r>
        <w:rPr>
          <w:rFonts w:hint="eastAsia" w:ascii="Arial" w:hAnsi="Arial" w:cs="Arial"/>
          <w:b/>
          <w:sz w:val="24"/>
          <w:szCs w:val="24"/>
          <w:lang w:val="en-US" w:eastAsia="zh-CN"/>
        </w:rPr>
        <w:t>xxx</w:t>
      </w:r>
      <w:r>
        <w:rPr>
          <w:rFonts w:hint="eastAsia" w:ascii="Arial" w:hAnsi="Arial" w:cs="Arial"/>
          <w:b/>
          <w:sz w:val="24"/>
          <w:szCs w:val="24"/>
        </w:rPr>
        <w:t xml:space="preserve">                         </w:t>
      </w:r>
    </w:p>
    <w:p w14:paraId="3EFC4EBA">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Athens</w:t>
      </w:r>
      <w:r>
        <w:rPr>
          <w:rFonts w:ascii="Arial" w:hAnsi="Arial" w:cs="Arial"/>
          <w:b/>
          <w:sz w:val="24"/>
          <w:szCs w:val="24"/>
          <w:lang w:eastAsia="zh-CN"/>
        </w:rPr>
        <w:t xml:space="preserve">, </w:t>
      </w:r>
      <w:r>
        <w:rPr>
          <w:rFonts w:hint="eastAsia" w:ascii="Arial" w:hAnsi="Arial" w:cs="Arial"/>
          <w:b/>
          <w:sz w:val="24"/>
          <w:szCs w:val="24"/>
          <w:lang w:val="en-US" w:eastAsia="zh-CN"/>
        </w:rPr>
        <w:t>Greece</w:t>
      </w:r>
      <w:r>
        <w:rPr>
          <w:rFonts w:ascii="Arial" w:hAnsi="Arial" w:cs="Arial"/>
          <w:b/>
          <w:sz w:val="24"/>
          <w:szCs w:val="24"/>
          <w:lang w:eastAsia="zh-CN"/>
        </w:rPr>
        <w:t>, 1</w:t>
      </w:r>
      <w:r>
        <w:rPr>
          <w:rFonts w:hint="eastAsia" w:ascii="Arial" w:hAnsi="Arial" w:cs="Arial"/>
          <w:b/>
          <w:sz w:val="24"/>
          <w:szCs w:val="24"/>
          <w:lang w:val="en-US" w:eastAsia="zh-CN"/>
        </w:rPr>
        <w:t>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Feb, 2025</w:t>
      </w:r>
    </w:p>
    <w:p w14:paraId="26DD2F0B">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7.23.2.2</w:t>
      </w:r>
      <w:bookmarkStart w:id="5" w:name="_GoBack"/>
      <w:bookmarkEnd w:id="5"/>
    </w:p>
    <w:p w14:paraId="189D1722">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14:paraId="189FFE4D">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modification of existing Tx requirements for FR1 and FR2-1 for SBFD BS</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0851A39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4763AAE1">
      <w:pPr>
        <w:pStyle w:val="58"/>
        <w:tabs>
          <w:tab w:val="left" w:pos="567"/>
          <w:tab w:val="clear" w:pos="1985"/>
        </w:tabs>
        <w:adjustRightInd w:val="0"/>
        <w:ind w:left="510" w:hanging="510"/>
      </w:pPr>
      <w:r>
        <w:t>Introduction</w:t>
      </w:r>
    </w:p>
    <w:p w14:paraId="6441D23D">
      <w:pPr>
        <w:tabs>
          <w:tab w:val="left" w:pos="2127"/>
        </w:tabs>
        <w:spacing w:after="0"/>
      </w:pPr>
      <w:r>
        <w:rPr>
          <w:rFonts w:hint="eastAsia"/>
        </w:rPr>
        <w:t>In the RAN#102 meeting, n</w:t>
      </w:r>
      <w:r>
        <w:rPr>
          <w:rStyle w:val="31"/>
          <w:rFonts w:hint="eastAsia"/>
          <w:color w:val="auto"/>
          <w:szCs w:val="21"/>
          <w:shd w:val="clear" w:color="auto" w:fill="FFFFFF"/>
        </w:rPr>
        <w:t>ew WID: Evolution of NR duplex operation: Sub-band full duplex (SBFD) has been approved. It</w:t>
      </w:r>
      <w:r>
        <w:rPr>
          <w:rStyle w:val="31"/>
          <w:color w:val="auto"/>
          <w:szCs w:val="21"/>
          <w:shd w:val="clear" w:color="auto" w:fill="FFFFFF"/>
        </w:rPr>
        <w:t>’</w:t>
      </w:r>
      <w:r>
        <w:rPr>
          <w:rStyle w:val="31"/>
          <w:rFonts w:hint="eastAsia"/>
          <w:color w:val="auto"/>
          <w:szCs w:val="21"/>
          <w:shd w:val="clear" w:color="auto" w:fill="FFFFFF"/>
        </w:rPr>
        <w:t>s expected to start the RAN4 meeting from April meeting. Since we have already reached good progress on the SBFD BS RF impacts in SI phase and outcome was captured in TR 38.858. In this contribution, we would like to share some further views on these remaining open issues.</w:t>
      </w:r>
    </w:p>
    <w:p w14:paraId="00E494FF">
      <w:pPr>
        <w:pStyle w:val="58"/>
        <w:tabs>
          <w:tab w:val="left" w:pos="567"/>
          <w:tab w:val="clear" w:pos="1985"/>
        </w:tabs>
        <w:adjustRightInd w:val="0"/>
        <w:ind w:left="510" w:hanging="510"/>
        <w:rPr>
          <w:rFonts w:eastAsia="Times New Roman"/>
        </w:rPr>
      </w:pPr>
      <w:r>
        <w:rPr>
          <w:rFonts w:hint="eastAsia"/>
        </w:rPr>
        <w:t xml:space="preserve">Discussion </w:t>
      </w:r>
      <w:bookmarkStart w:id="1" w:name="OLE_LINK10"/>
      <w:bookmarkStart w:id="2" w:name="OLE_LINK20"/>
      <w:bookmarkStart w:id="3" w:name="OLE_LINK14"/>
      <w:bookmarkStart w:id="4" w:name="OLE_LINK13"/>
      <w:r>
        <w:rPr>
          <w:rFonts w:hint="eastAsia" w:eastAsia="Times New Roman"/>
        </w:rPr>
        <w:t xml:space="preserve"> </w:t>
      </w:r>
    </w:p>
    <w:bookmarkEnd w:id="1"/>
    <w:bookmarkEnd w:id="2"/>
    <w:bookmarkEnd w:id="3"/>
    <w:bookmarkEnd w:id="4"/>
    <w:p w14:paraId="7013C5F5">
      <w:pPr>
        <w:pStyle w:val="37"/>
        <w:spacing w:after="120" w:line="260" w:lineRule="auto"/>
        <w:ind w:firstLine="0" w:firstLineChars="0"/>
        <w:outlineLvl w:val="1"/>
        <w:rPr>
          <w:sz w:val="20"/>
          <w:szCs w:val="20"/>
        </w:rPr>
      </w:pPr>
      <w:r>
        <w:rPr>
          <w:rFonts w:ascii="Arial" w:hAnsi="Arial" w:cs="Arial"/>
          <w:sz w:val="28"/>
          <w:szCs w:val="28"/>
        </w:rPr>
        <w:t>2.1. Tx requirements</w:t>
      </w:r>
    </w:p>
    <w:p w14:paraId="7CC6F9D7">
      <w:pPr>
        <w:pStyle w:val="37"/>
        <w:spacing w:after="120" w:line="260" w:lineRule="auto"/>
        <w:ind w:firstLine="0" w:firstLineChars="0"/>
        <w:outlineLvl w:val="2"/>
        <w:rPr>
          <w:sz w:val="20"/>
          <w:szCs w:val="20"/>
        </w:rPr>
      </w:pPr>
      <w:r>
        <w:rPr>
          <w:rFonts w:hint="eastAsia"/>
          <w:sz w:val="20"/>
          <w:szCs w:val="20"/>
        </w:rPr>
        <w:t xml:space="preserve">2.1.1. </w:t>
      </w:r>
      <w:r>
        <w:rPr>
          <w:sz w:val="20"/>
          <w:szCs w:val="20"/>
        </w:rPr>
        <w:t>Co-location ACLR requirement</w:t>
      </w:r>
      <w:r>
        <w:rPr>
          <w:rFonts w:hint="eastAsia"/>
          <w:sz w:val="20"/>
          <w:szCs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6B78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5C14874">
            <w:pPr>
              <w:pStyle w:val="5"/>
              <w:ind w:left="0" w:firstLine="0"/>
              <w:rPr>
                <w:sz w:val="20"/>
                <w:lang w:val="en-US"/>
              </w:rPr>
            </w:pPr>
            <w:r>
              <w:rPr>
                <w:sz w:val="20"/>
                <w:lang w:val="en-US"/>
              </w:rPr>
              <w:t>Issue 2-3-1: The necessity of Co-location ACLR requirement</w:t>
            </w:r>
          </w:p>
          <w:p w14:paraId="659AFFE2">
            <w:pPr>
              <w:pStyle w:val="37"/>
              <w:numPr>
                <w:ilvl w:val="0"/>
                <w:numId w:val="2"/>
              </w:numPr>
              <w:spacing w:after="120"/>
              <w:ind w:left="720" w:firstLineChars="0"/>
              <w:rPr>
                <w:highlight w:val="green"/>
              </w:rPr>
            </w:pPr>
            <w:r>
              <w:rPr>
                <w:highlight w:val="green"/>
              </w:rPr>
              <w:t xml:space="preserve">Agreement: </w:t>
            </w:r>
          </w:p>
          <w:p w14:paraId="6E5E5617">
            <w:pPr>
              <w:pStyle w:val="37"/>
              <w:numPr>
                <w:ilvl w:val="1"/>
                <w:numId w:val="2"/>
              </w:numPr>
              <w:spacing w:after="120"/>
              <w:ind w:firstLineChars="0"/>
            </w:pPr>
            <w:r>
              <w:t>RAN4 further study the ACLR requirement by applying the existing ACLR requirement for SBFD-capable BS in SBFD symbols/slots</w:t>
            </w:r>
          </w:p>
          <w:p w14:paraId="04544B9D">
            <w:pPr>
              <w:pStyle w:val="37"/>
              <w:numPr>
                <w:ilvl w:val="2"/>
                <w:numId w:val="2"/>
              </w:numPr>
              <w:spacing w:after="120"/>
              <w:ind w:firstLineChars="0"/>
              <w:rPr>
                <w:sz w:val="20"/>
                <w:szCs w:val="20"/>
              </w:rPr>
            </w:pPr>
            <w:r>
              <w:t xml:space="preserve">FFS the applicable deployment scenario where different ACLR requirement could be useful, whether it justify the different ACLR requirement.  </w:t>
            </w:r>
          </w:p>
          <w:p w14:paraId="4B184A23">
            <w:pPr>
              <w:pStyle w:val="5"/>
              <w:ind w:left="0" w:firstLine="0"/>
              <w:rPr>
                <w:sz w:val="20"/>
                <w:lang w:val="en-US" w:eastAsia="zh-CN"/>
              </w:rPr>
            </w:pPr>
            <w:r>
              <w:rPr>
                <w:sz w:val="20"/>
                <w:lang w:val="en-US"/>
              </w:rPr>
              <w:t>Issue 2: Unwanted emissions</w:t>
            </w:r>
          </w:p>
          <w:p w14:paraId="7DE0F6F4">
            <w:pPr>
              <w:pStyle w:val="37"/>
              <w:numPr>
                <w:ilvl w:val="0"/>
                <w:numId w:val="2"/>
              </w:numPr>
              <w:spacing w:after="120"/>
              <w:ind w:left="720" w:firstLineChars="0"/>
              <w:rPr>
                <w:highlight w:val="green"/>
                <w:lang w:eastAsia="zh-CN"/>
              </w:rPr>
            </w:pPr>
            <w:r>
              <w:rPr>
                <w:highlight w:val="green"/>
                <w:lang w:eastAsia="zh-CN"/>
              </w:rPr>
              <w:t xml:space="preserve">Agreement: </w:t>
            </w:r>
          </w:p>
          <w:p w14:paraId="6DCBECB7">
            <w:pPr>
              <w:pStyle w:val="37"/>
              <w:numPr>
                <w:ilvl w:val="1"/>
                <w:numId w:val="2"/>
              </w:numPr>
              <w:spacing w:after="120"/>
              <w:ind w:firstLineChars="0"/>
              <w:rPr>
                <w:sz w:val="20"/>
                <w:szCs w:val="20"/>
              </w:rPr>
            </w:pPr>
            <w:r>
              <w:t>FFS whether/how to introduce the additional ACLR and/or OBUE requirements for FR1 WA BS.</w:t>
            </w:r>
          </w:p>
        </w:tc>
      </w:tr>
    </w:tbl>
    <w:p w14:paraId="58D2B5FB">
      <w:pPr>
        <w:pStyle w:val="37"/>
        <w:spacing w:after="120"/>
        <w:ind w:firstLine="0" w:firstLineChars="0"/>
        <w:rPr>
          <w:rFonts w:hint="default" w:eastAsia="宋体"/>
          <w:sz w:val="20"/>
          <w:szCs w:val="20"/>
          <w:lang w:val="en-US" w:eastAsia="zh-CN"/>
        </w:rPr>
      </w:pPr>
      <w:r>
        <w:rPr>
          <w:rFonts w:hint="eastAsia"/>
          <w:sz w:val="20"/>
          <w:szCs w:val="20"/>
        </w:rPr>
        <w:t>From our understanding, the additional or tightening requirement when two SBFD BS operating at the adjacent frequency, then tightening ACLR requirement or OBUE requirement should be helpful to address the Bs2Bs CLI problem especially for Scenario 1, Case 3. However it should be noted that there are no much ACLR/OBUE requirement to be improved for AAS based SBFD BS due to the higher operating frequency and larger channel bandwidth and small transceiver</w:t>
      </w:r>
      <w:r>
        <w:rPr>
          <w:sz w:val="20"/>
          <w:szCs w:val="20"/>
        </w:rPr>
        <w:t>’</w:t>
      </w:r>
      <w:r>
        <w:rPr>
          <w:rFonts w:hint="eastAsia"/>
          <w:sz w:val="20"/>
          <w:szCs w:val="20"/>
        </w:rPr>
        <w:t xml:space="preserve">s PA linearity. </w:t>
      </w:r>
      <w:r>
        <w:rPr>
          <w:rFonts w:hint="eastAsia"/>
          <w:sz w:val="20"/>
          <w:szCs w:val="20"/>
          <w:lang w:val="en-US" w:eastAsia="zh-CN"/>
        </w:rPr>
        <w:t>As proposed by the some companies, the front-end RF filter for Wide area SBFD BS and analog receiver sub-band filter should be implemented to achieve better ACLR/OBUE requirement to protect the co-located victim SBFD BS UL .e.g aggressive BS and victim mounted shoulder by shoulder or top/bottom position, however this kind of requirement might be not valid or useful for other deployments e.g. with victim SBFD BS in the boresight direction of aggressive BS. In short, we propose to keep the legacy ACLR requirement for SBFD capable of BS without defining any more tightening requirement for SBFD BS.</w:t>
      </w:r>
    </w:p>
    <w:p w14:paraId="7FB4C784">
      <w:pPr>
        <w:pStyle w:val="37"/>
        <w:spacing w:after="120"/>
        <w:ind w:firstLine="0" w:firstLineChars="0"/>
        <w:rPr>
          <w:sz w:val="20"/>
          <w:szCs w:val="20"/>
        </w:rPr>
      </w:pPr>
      <w:r>
        <w:rPr>
          <w:rFonts w:hint="eastAsia"/>
          <w:b/>
          <w:bCs/>
          <w:sz w:val="20"/>
          <w:szCs w:val="20"/>
        </w:rPr>
        <w:t>Proposal 1</w:t>
      </w:r>
      <w:r>
        <w:rPr>
          <w:rFonts w:hint="eastAsia"/>
          <w:sz w:val="20"/>
          <w:szCs w:val="20"/>
        </w:rPr>
        <w:t xml:space="preserve">: propose to follow the legacy ACLR requirement for SBFD capable BS without defining any more tightening requirement for SBFD BS. </w:t>
      </w:r>
    </w:p>
    <w:p w14:paraId="72D0181B">
      <w:pPr>
        <w:pStyle w:val="37"/>
        <w:spacing w:after="120" w:line="260" w:lineRule="auto"/>
        <w:ind w:firstLine="0" w:firstLineChars="0"/>
        <w:outlineLvl w:val="2"/>
        <w:rPr>
          <w:sz w:val="20"/>
          <w:szCs w:val="20"/>
        </w:rPr>
      </w:pPr>
      <w:r>
        <w:rPr>
          <w:rFonts w:hint="eastAsia"/>
          <w:sz w:val="20"/>
          <w:szCs w:val="20"/>
        </w:rPr>
        <w:t>2.1.2. OBUE requirement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E99E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9A415AB">
            <w:pPr>
              <w:pStyle w:val="5"/>
              <w:ind w:left="0" w:firstLine="0"/>
              <w:rPr>
                <w:sz w:val="20"/>
                <w:lang w:val="en-US"/>
              </w:rPr>
            </w:pPr>
            <w:r>
              <w:rPr>
                <w:sz w:val="20"/>
                <w:lang w:val="en-US"/>
              </w:rPr>
              <w:t>Issue 2-3-2: OBUE</w:t>
            </w:r>
          </w:p>
          <w:p w14:paraId="548B6800">
            <w:pPr>
              <w:pStyle w:val="37"/>
              <w:numPr>
                <w:ilvl w:val="0"/>
                <w:numId w:val="2"/>
              </w:numPr>
              <w:spacing w:after="120"/>
              <w:ind w:left="720" w:firstLineChars="0"/>
              <w:rPr>
                <w:highlight w:val="green"/>
              </w:rPr>
            </w:pPr>
            <w:r>
              <w:rPr>
                <w:highlight w:val="green"/>
              </w:rPr>
              <w:t xml:space="preserve">Agreement: </w:t>
            </w:r>
          </w:p>
          <w:p w14:paraId="2560CC30">
            <w:pPr>
              <w:pStyle w:val="37"/>
              <w:numPr>
                <w:ilvl w:val="1"/>
                <w:numId w:val="2"/>
              </w:numPr>
              <w:spacing w:after="120"/>
              <w:ind w:firstLineChars="0"/>
              <w:rPr>
                <w:szCs w:val="24"/>
              </w:rPr>
            </w:pPr>
            <w:r>
              <w:t xml:space="preserve">Further discuss how to define OBUE requirement for SBFD capable BS in order to ensure feasible co-existence performance for SBFD BSs operating in adjacent frequency. </w:t>
            </w:r>
          </w:p>
          <w:p w14:paraId="74A3A104">
            <w:pPr>
              <w:pStyle w:val="37"/>
              <w:numPr>
                <w:ilvl w:val="255"/>
                <w:numId w:val="0"/>
              </w:numPr>
              <w:spacing w:after="120"/>
              <w:ind w:left="1296"/>
            </w:pPr>
          </w:p>
          <w:p w14:paraId="398E449D">
            <w:pPr>
              <w:spacing w:after="120"/>
              <w:rPr>
                <w:color w:val="0070C0"/>
                <w:szCs w:val="24"/>
              </w:rPr>
            </w:pPr>
            <w:r>
              <w:rPr>
                <w:b/>
              </w:rPr>
              <w:t>Agreement:</w:t>
            </w:r>
            <w:r>
              <w:rPr>
                <w:color w:val="0070C0"/>
                <w:szCs w:val="24"/>
              </w:rPr>
              <w:t xml:space="preserve"> </w:t>
            </w:r>
          </w:p>
          <w:p w14:paraId="0418D810">
            <w:pPr>
              <w:pStyle w:val="37"/>
              <w:numPr>
                <w:ilvl w:val="0"/>
                <w:numId w:val="3"/>
              </w:numPr>
              <w:ind w:firstLineChars="0"/>
              <w:rPr>
                <w:rFonts w:eastAsiaTheme="minorEastAsia"/>
              </w:rPr>
            </w:pPr>
            <w:r>
              <w:rPr>
                <w:szCs w:val="24"/>
              </w:rPr>
              <w:t>When coexisting with legacy TDD system in adjacent channel, RAN4 shall apply the legacy ACLR and OBUE requirement for SBFD-capable BS</w:t>
            </w:r>
            <w:r>
              <w:rPr>
                <w:rFonts w:eastAsiaTheme="minorEastAsia"/>
              </w:rPr>
              <w:t>.</w:t>
            </w:r>
          </w:p>
          <w:p w14:paraId="77808EAA">
            <w:pPr>
              <w:spacing w:after="120"/>
              <w:rPr>
                <w:color w:val="0070C0"/>
                <w:szCs w:val="24"/>
              </w:rPr>
            </w:pPr>
            <w:r>
              <w:rPr>
                <w:b/>
              </w:rPr>
              <w:t>WF:</w:t>
            </w:r>
            <w:r>
              <w:rPr>
                <w:color w:val="0070C0"/>
                <w:szCs w:val="24"/>
              </w:rPr>
              <w:t xml:space="preserve"> </w:t>
            </w:r>
          </w:p>
          <w:p w14:paraId="2163572A">
            <w:pPr>
              <w:pStyle w:val="37"/>
              <w:numPr>
                <w:ilvl w:val="0"/>
                <w:numId w:val="3"/>
              </w:numPr>
              <w:ind w:firstLineChars="0"/>
              <w:rPr>
                <w:rFonts w:eastAsiaTheme="minorEastAsia"/>
              </w:rPr>
            </w:pPr>
            <w:r>
              <w:rPr>
                <w:rFonts w:hint="eastAsia" w:eastAsiaTheme="minorEastAsia"/>
              </w:rPr>
              <w:t>F</w:t>
            </w:r>
            <w:r>
              <w:rPr>
                <w:rFonts w:eastAsiaTheme="minorEastAsia"/>
              </w:rPr>
              <w:t>FS on the followings:</w:t>
            </w:r>
          </w:p>
          <w:p w14:paraId="2615452E">
            <w:pPr>
              <w:pStyle w:val="37"/>
              <w:numPr>
                <w:ilvl w:val="1"/>
                <w:numId w:val="3"/>
              </w:numPr>
              <w:ind w:firstLineChars="0"/>
              <w:rPr>
                <w:rFonts w:eastAsiaTheme="minorEastAsia"/>
              </w:rPr>
            </w:pPr>
            <w:r>
              <w:rPr>
                <w:color w:val="000000" w:themeColor="text1"/>
                <w14:textFill>
                  <w14:solidFill>
                    <w14:schemeClr w14:val="tx1"/>
                  </w14:solidFill>
                </w14:textFill>
              </w:rPr>
              <w:t>For FR1 macro deployments, when coexisting with new SBFD system in adjacent channel, RAN4 to define additional ACLR and/or OBUE requirement to ensure feasible coexistence with SBFD-capable gNB. The assumption for the victim BS DESENS and CL of BS2BS is FFS.</w:t>
            </w:r>
          </w:p>
          <w:p w14:paraId="160D8CE8">
            <w:pPr>
              <w:pStyle w:val="37"/>
              <w:numPr>
                <w:ilvl w:val="255"/>
                <w:numId w:val="0"/>
              </w:numPr>
              <w:spacing w:after="120"/>
              <w:ind w:left="1296"/>
              <w:rPr>
                <w:szCs w:val="24"/>
              </w:rPr>
            </w:pPr>
            <w:r>
              <w:t xml:space="preserve"> </w:t>
            </w:r>
          </w:p>
        </w:tc>
      </w:tr>
    </w:tbl>
    <w:p w14:paraId="113DDB83">
      <w:pPr>
        <w:pStyle w:val="37"/>
        <w:spacing w:after="120"/>
        <w:ind w:firstLine="0" w:firstLineChars="0"/>
        <w:rPr>
          <w:rFonts w:hint="eastAsia" w:eastAsia="宋体"/>
          <w:sz w:val="20"/>
          <w:szCs w:val="20"/>
          <w:lang w:val="en-US" w:eastAsia="zh-CN"/>
        </w:rPr>
      </w:pPr>
      <w:r>
        <w:rPr>
          <w:rFonts w:hint="eastAsia"/>
          <w:sz w:val="20"/>
          <w:szCs w:val="20"/>
          <w:lang w:val="en-US" w:eastAsia="zh-CN"/>
        </w:rPr>
        <w:t>Similar as Co-located ACLR requirement, d</w:t>
      </w:r>
      <w:r>
        <w:rPr>
          <w:rFonts w:hint="eastAsia"/>
          <w:sz w:val="20"/>
          <w:szCs w:val="20"/>
        </w:rPr>
        <w:t>uring the last RAN4 meeting, there were some discussions on how to define OBUE requirement for SBFD capable BS in order to ensure the coexistence performance for SBFD BSs operating in adjacent channel shown as following. During the Rel-18 SBFD SI phase, the following coexistence scenario was not evaluated, however the CLI interference is quite similar as Case 3 where NR DL interfering SBFD UL. Especially for Scenario 1, Case 3, the severe performance degradation could be observed for SBFD UL due to the strong CLI from NR DL in the adjacent channel. Even with ACIR requirement tightening 8dB, the 5% throughput loss is still up to 43.5% and the mean throughput loss could be minimized down to 4.67%. However as we know that, for AAS based SBFD BS, due to the higher operating frequency and larger channel bandwidth and small transceiver</w:t>
      </w:r>
      <w:r>
        <w:rPr>
          <w:sz w:val="20"/>
          <w:szCs w:val="20"/>
        </w:rPr>
        <w:t>’</w:t>
      </w:r>
      <w:r>
        <w:rPr>
          <w:rFonts w:hint="eastAsia"/>
          <w:sz w:val="20"/>
          <w:szCs w:val="20"/>
        </w:rPr>
        <w:t xml:space="preserve">s PA linearity, there are no much ACLR/OBUE requirement to be further improved. In other words, even though RAN4 is capable to agree more tightening requirement e.g. with 10dB tightening requirements than the legacy requirements, it is still not feasible to be achieved for SBFD capable BS. </w:t>
      </w:r>
      <w:r>
        <w:rPr>
          <w:rFonts w:hint="eastAsia"/>
          <w:sz w:val="20"/>
          <w:szCs w:val="20"/>
          <w:lang w:val="en-US" w:eastAsia="zh-CN"/>
        </w:rPr>
        <w:t>As mentioned before, the RF filter for wide area SBFD BS also need more time to check its feasibility and it expected filter size to ensure that BS is not too chunky and without too big insertion loss at the end</w:t>
      </w:r>
    </w:p>
    <w:p w14:paraId="05C1F977">
      <w:pPr>
        <w:pStyle w:val="37"/>
        <w:spacing w:after="120"/>
        <w:ind w:firstLine="0" w:firstLineChars="0"/>
        <w:rPr>
          <w:sz w:val="20"/>
          <w:szCs w:val="20"/>
        </w:rPr>
      </w:pPr>
      <w:r>
        <w:rPr>
          <w:rFonts w:hint="eastAsia"/>
          <w:sz w:val="20"/>
          <w:szCs w:val="20"/>
        </w:rPr>
        <w:t xml:space="preserve">Based on the above considerations, we propose to follow the legacy OBUE requirement for SBFD BS without defining any more tightening requirement for SBFD BS to address the CLI concern in the adjacent channel. </w:t>
      </w:r>
    </w:p>
    <w:p w14:paraId="66DB793B">
      <w:pPr>
        <w:widowControl/>
        <w:jc w:val="left"/>
      </w:pPr>
      <w:r>
        <w:rPr>
          <w:rFonts w:ascii="宋体" w:hAnsi="宋体" w:cs="宋体"/>
          <w:kern w:val="0"/>
          <w:sz w:val="24"/>
          <w:szCs w:val="24"/>
          <w:lang w:bidi="ar"/>
        </w:rPr>
        <w:drawing>
          <wp:inline distT="0" distB="0" distL="114300" distR="114300">
            <wp:extent cx="5822315" cy="1115060"/>
            <wp:effectExtent l="0" t="0" r="6985" b="889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5822315" cy="1115060"/>
                    </a:xfrm>
                    <a:prstGeom prst="rect">
                      <a:avLst/>
                    </a:prstGeom>
                    <a:noFill/>
                    <a:ln w="9525">
                      <a:noFill/>
                    </a:ln>
                  </pic:spPr>
                </pic:pic>
              </a:graphicData>
            </a:graphic>
          </wp:inline>
        </w:drawing>
      </w:r>
    </w:p>
    <w:p w14:paraId="1EDD27B9">
      <w:pPr>
        <w:pStyle w:val="37"/>
        <w:spacing w:after="120"/>
        <w:ind w:firstLine="0" w:firstLineChars="0"/>
        <w:rPr>
          <w:sz w:val="20"/>
          <w:szCs w:val="20"/>
        </w:rPr>
      </w:pPr>
      <w:r>
        <w:rPr>
          <w:rFonts w:hint="eastAsia"/>
          <w:b/>
          <w:bCs/>
          <w:sz w:val="20"/>
          <w:szCs w:val="20"/>
        </w:rPr>
        <w:t>Proposal 2</w:t>
      </w:r>
      <w:r>
        <w:rPr>
          <w:rFonts w:hint="eastAsia"/>
          <w:sz w:val="20"/>
          <w:szCs w:val="20"/>
        </w:rPr>
        <w:t xml:space="preserve">: propose to follow the legacy OBUE requirement for SBFD capable BS without defining any more tightening requirement for SBFD BS to address the CLI concern in the adjacent channel.  </w:t>
      </w:r>
    </w:p>
    <w:p w14:paraId="6391F92E">
      <w:pPr>
        <w:pStyle w:val="37"/>
        <w:spacing w:after="120" w:line="260" w:lineRule="auto"/>
        <w:ind w:firstLine="0" w:firstLineChars="0"/>
        <w:outlineLvl w:val="2"/>
        <w:rPr>
          <w:sz w:val="20"/>
          <w:szCs w:val="20"/>
        </w:rPr>
      </w:pPr>
      <w:r>
        <w:rPr>
          <w:rFonts w:hint="eastAsia"/>
          <w:sz w:val="20"/>
          <w:szCs w:val="20"/>
        </w:rPr>
        <w:t>2.1.3. EVM</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4C67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DC41164">
            <w:pPr>
              <w:spacing w:after="120"/>
              <w:rPr>
                <w:color w:val="0070C0"/>
                <w:szCs w:val="24"/>
              </w:rPr>
            </w:pPr>
            <w:r>
              <w:rPr>
                <w:b/>
              </w:rPr>
              <w:t>WF:</w:t>
            </w:r>
            <w:r>
              <w:rPr>
                <w:color w:val="0070C0"/>
                <w:szCs w:val="24"/>
              </w:rPr>
              <w:t xml:space="preserve"> </w:t>
            </w:r>
          </w:p>
          <w:p w14:paraId="2DB12286">
            <w:pPr>
              <w:pStyle w:val="37"/>
              <w:numPr>
                <w:ilvl w:val="0"/>
                <w:numId w:val="3"/>
              </w:numPr>
              <w:ind w:firstLineChars="0"/>
              <w:rPr>
                <w:rFonts w:eastAsiaTheme="minorEastAsia"/>
              </w:rPr>
            </w:pPr>
            <w:r>
              <w:rPr>
                <w:rFonts w:hint="eastAsia" w:eastAsiaTheme="minorEastAsia"/>
              </w:rPr>
              <w:t>F</w:t>
            </w:r>
            <w:r>
              <w:rPr>
                <w:rFonts w:eastAsiaTheme="minorEastAsia"/>
              </w:rPr>
              <w:t>FS on the followings:</w:t>
            </w:r>
          </w:p>
          <w:p w14:paraId="4EC73C10">
            <w:pPr>
              <w:pStyle w:val="37"/>
              <w:numPr>
                <w:ilvl w:val="1"/>
                <w:numId w:val="3"/>
              </w:numPr>
              <w:ind w:firstLineChars="0"/>
              <w:rPr>
                <w:rFonts w:eastAsiaTheme="minorEastAsia"/>
              </w:rPr>
            </w:pPr>
            <w:r>
              <w:rPr>
                <w:color w:val="000000" w:themeColor="text1"/>
                <w14:textFill>
                  <w14:solidFill>
                    <w14:schemeClr w14:val="tx1"/>
                  </w14:solidFill>
                </w14:textFill>
              </w:rPr>
              <w:t>Averaged EVMs for SBFD slots and non-SBFD slots shall be measured separately.</w:t>
            </w:r>
          </w:p>
          <w:p w14:paraId="34CCFA2B">
            <w:pPr>
              <w:pStyle w:val="37"/>
              <w:numPr>
                <w:ilvl w:val="1"/>
                <w:numId w:val="3"/>
              </w:numPr>
              <w:ind w:firstLineChars="0"/>
              <w:rPr>
                <w:rFonts w:eastAsiaTheme="minorEastAsia"/>
              </w:rPr>
            </w:pPr>
            <w:r>
              <w:rPr>
                <w:color w:val="000000" w:themeColor="text1"/>
                <w14:textFill>
                  <w14:solidFill>
                    <w14:schemeClr w14:val="tx1"/>
                  </w14:solidFill>
                </w14:textFill>
              </w:rPr>
              <w:t>Averaged EVM for SBFD slots shall be calculated only based on the data samples where DLs are allocated within the SBFD slots. The data samples where ULs are allocated within the SBFD slots shall be removed from the calculation of averaged EVM.</w:t>
            </w:r>
          </w:p>
          <w:p w14:paraId="523295E9">
            <w:pPr>
              <w:spacing w:after="120"/>
            </w:pPr>
          </w:p>
        </w:tc>
      </w:tr>
    </w:tbl>
    <w:p w14:paraId="779C327F">
      <w:pPr>
        <w:spacing w:after="120"/>
      </w:pPr>
      <w:r>
        <w:rPr>
          <w:rFonts w:hint="eastAsia"/>
        </w:rPr>
        <w:t xml:space="preserve">In the previous RAN4 meetings, there were some discussions on how to do the average EVM for SBFD capable BS.  As shown in the following figure </w:t>
      </w:r>
      <w:r>
        <w:rPr>
          <w:rFonts w:hint="eastAsia"/>
          <w:lang w:bidi="ar"/>
        </w:rPr>
        <w:t>2.1.3-1a</w:t>
      </w:r>
      <w:r>
        <w:rPr>
          <w:rFonts w:hint="eastAsia"/>
        </w:rPr>
        <w:t>, the EVM performance for 1</w:t>
      </w:r>
      <w:r>
        <w:rPr>
          <w:rFonts w:hint="eastAsia"/>
          <w:vertAlign w:val="superscript"/>
        </w:rPr>
        <w:t>st</w:t>
      </w:r>
      <w:r>
        <w:rPr>
          <w:rFonts w:hint="eastAsia"/>
        </w:rPr>
        <w:t xml:space="preserve"> symbol after the transmitter is turn on and last symbol before transmitter is turn off is supposed to be very bad (e.g. up to 17.5% EVM) which is also observed in UE Tx EVM measurement. That is parts of the reasoning to have 10ms measurement period for EVM evaluation to get the stable EVM measurement. </w:t>
      </w:r>
    </w:p>
    <w:p w14:paraId="516593B0">
      <w:pPr>
        <w:widowControl/>
        <w:jc w:val="left"/>
        <w:rPr>
          <w:rFonts w:ascii="宋体" w:hAnsi="宋体" w:cs="宋体"/>
          <w:kern w:val="0"/>
          <w:sz w:val="24"/>
          <w:szCs w:val="24"/>
          <w:lang w:bidi="ar"/>
        </w:rPr>
      </w:pPr>
      <w:r>
        <w:rPr>
          <w:rFonts w:ascii="宋体" w:hAnsi="宋体" w:cs="宋体"/>
          <w:kern w:val="0"/>
          <w:sz w:val="24"/>
          <w:szCs w:val="24"/>
          <w:lang w:bidi="ar"/>
        </w:rPr>
        <w:drawing>
          <wp:inline distT="0" distB="0" distL="114300" distR="114300">
            <wp:extent cx="6143625" cy="1071245"/>
            <wp:effectExtent l="0" t="0" r="0" b="15875"/>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r:embed="rId8"/>
                    <a:stretch>
                      <a:fillRect/>
                    </a:stretch>
                  </pic:blipFill>
                  <pic:spPr>
                    <a:xfrm>
                      <a:off x="0" y="0"/>
                      <a:ext cx="6143625" cy="1071245"/>
                    </a:xfrm>
                    <a:prstGeom prst="rect">
                      <a:avLst/>
                    </a:prstGeom>
                    <a:noFill/>
                    <a:ln w="9525">
                      <a:noFill/>
                    </a:ln>
                  </pic:spPr>
                </pic:pic>
              </a:graphicData>
            </a:graphic>
          </wp:inline>
        </w:drawing>
      </w:r>
    </w:p>
    <w:p w14:paraId="09136D3A">
      <w:pPr>
        <w:widowControl/>
        <w:spacing w:after="120"/>
        <w:jc w:val="center"/>
        <w:rPr>
          <w:lang w:bidi="ar"/>
        </w:rPr>
      </w:pPr>
      <w:r>
        <w:rPr>
          <w:rFonts w:hint="eastAsia"/>
          <w:lang w:bidi="ar"/>
        </w:rPr>
        <w:t>Figure 2.1.3-1a. EVM performance for normal TDD configuration, DDDSU.</w:t>
      </w:r>
    </w:p>
    <w:p w14:paraId="7320B246">
      <w:pPr>
        <w:spacing w:after="120"/>
      </w:pPr>
      <w:r>
        <w:rPr>
          <w:rFonts w:hint="eastAsia"/>
        </w:rPr>
        <w:t xml:space="preserve">For the following figure, we have two downlink slots configured for SBFD configuration, as shown in the following figure </w:t>
      </w:r>
      <w:r>
        <w:rPr>
          <w:rFonts w:hint="eastAsia"/>
          <w:lang w:bidi="ar"/>
        </w:rPr>
        <w:t xml:space="preserve">2.1.3-1b, the ratio of bad EVM performance for normal DL slots or non-SBFD slots will increase, meanwhile the ratio of bad EVM performance for SBFD symbols will be also relatively higher compared with the legacy TDD configuration without SBFD configuration as shown in Figure 2.1.3-1a. In the words, the expected EVM performance would be relatively worse if to measure non-SBFD symbols and SBFD symbols separately due to more symbols with bad EVM performance. In addition, even go with joint average between SBFD symbols and non-SBFD symbols, then EVM performance will be become worse compared with the legacy TDD configuration in theory. </w:t>
      </w:r>
    </w:p>
    <w:p w14:paraId="6EFBF048">
      <w:pPr>
        <w:widowControl/>
        <w:jc w:val="left"/>
        <w:rPr>
          <w:rFonts w:ascii="宋体" w:hAnsi="宋体" w:cs="宋体"/>
          <w:kern w:val="0"/>
          <w:sz w:val="24"/>
          <w:szCs w:val="24"/>
          <w:lang w:bidi="ar"/>
        </w:rPr>
      </w:pPr>
      <w:r>
        <w:rPr>
          <w:rFonts w:ascii="宋体" w:hAnsi="宋体" w:cs="宋体"/>
          <w:kern w:val="0"/>
          <w:sz w:val="24"/>
          <w:szCs w:val="24"/>
          <w:lang w:bidi="ar"/>
        </w:rPr>
        <w:drawing>
          <wp:inline distT="0" distB="0" distL="114300" distR="114300">
            <wp:extent cx="6380480" cy="1123950"/>
            <wp:effectExtent l="0" t="0" r="0" b="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9"/>
                    <a:srcRect r="-10868"/>
                    <a:stretch>
                      <a:fillRect/>
                    </a:stretch>
                  </pic:blipFill>
                  <pic:spPr>
                    <a:xfrm>
                      <a:off x="0" y="0"/>
                      <a:ext cx="6380480" cy="1123950"/>
                    </a:xfrm>
                    <a:prstGeom prst="rect">
                      <a:avLst/>
                    </a:prstGeom>
                    <a:noFill/>
                    <a:ln w="9525">
                      <a:noFill/>
                    </a:ln>
                  </pic:spPr>
                </pic:pic>
              </a:graphicData>
            </a:graphic>
          </wp:inline>
        </w:drawing>
      </w:r>
    </w:p>
    <w:p w14:paraId="6A62B572">
      <w:pPr>
        <w:widowControl/>
        <w:spacing w:after="120"/>
        <w:jc w:val="left"/>
        <w:rPr>
          <w:lang w:bidi="ar"/>
        </w:rPr>
      </w:pPr>
      <w:r>
        <w:rPr>
          <w:rFonts w:hint="eastAsia"/>
          <w:lang w:bidi="ar"/>
        </w:rPr>
        <w:t>Figure 2.1.3-1b. EVM performance for TDD configuration with SBFD symbols, DDDSU with 2 D slots for SBFD configuration</w:t>
      </w:r>
    </w:p>
    <w:p w14:paraId="0318175C">
      <w:pPr>
        <w:spacing w:after="120"/>
      </w:pPr>
      <w:r>
        <w:rPr>
          <w:rFonts w:hint="eastAsia"/>
        </w:rPr>
        <w:t xml:space="preserve">Based on the above analysis and considerations, even though we think that joint EVM between non-SBFD symbols and SBFD symbols should be better option since the serving UE might be scheduled in both non-SBFD symbols and SBFD symbols. To ensure the BS EVM performance across non-SBFD and SBFD should be more reasonable assumption to ensure the UE DL reception performance. However we are also fine to compromise with separate the EVM testing, some additional modifications on EVM calculation in Annex is needed. The detailed could be found as following:  </w:t>
      </w:r>
    </w:p>
    <w:p w14:paraId="33482484">
      <w:pPr>
        <w:spacing w:after="120"/>
      </w:pPr>
      <w:r>
        <w:rPr>
          <w:rFonts w:hint="eastAsia"/>
        </w:rPr>
        <w:t xml:space="preserve">As extracted from the Annex B.7 in TS 38.104, the number of downlink frame is calculated based on the slots granularity. According to the SBFD configuration as agreed in RAN1, it could be symbols level granularity, then following definition could be updated as following for SBFD capable of BS. </w:t>
      </w:r>
    </w:p>
    <w:p w14:paraId="236C22D7">
      <w:pPr>
        <w:overflowPunct w:val="0"/>
        <w:autoSpaceDE w:val="0"/>
        <w:autoSpaceDN w:val="0"/>
        <w:adjustRightInd w:val="0"/>
        <w:textAlignment w:val="baseline"/>
        <w:rPr>
          <w:color w:val="000000" w:themeColor="text1"/>
          <w14:textFill>
            <w14:solidFill>
              <w14:schemeClr w14:val="tx1"/>
            </w14:solidFill>
          </w14:textFill>
        </w:rPr>
      </w:pPr>
      <w:r>
        <w:rPr>
          <w:color w:val="000000" w:themeColor="text1"/>
          <w14:textFill>
            <w14:solidFill>
              <w14:schemeClr w14:val="tx1"/>
            </w14:solidFill>
          </w14:textFill>
        </w:rPr>
        <w:t>Calculation of averaged EVM is defined in Annex B.7 for FR1 in TS 38.104 [5]:</w:t>
      </w:r>
    </w:p>
    <w:p w14:paraId="3B484A98">
      <w:pPr>
        <w:overflowPunct w:val="0"/>
        <w:autoSpaceDE w:val="0"/>
        <w:autoSpaceDN w:val="0"/>
        <w:adjustRightInd w:val="0"/>
        <w:textAlignment w:val="baseline"/>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 xml:space="preserve">EVM is averaged over all allocated downlink resource blocks with the considered modulation scheme in the frequency domain, and a minimum of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m:t>
            </m:r>
            <m:r>
              <m:rPr/>
              <w:rPr>
                <w:rFonts w:ascii="Cambria Math" w:hAnsi="Cambria Math" w:eastAsiaTheme="minorEastAsia"/>
                <w:color w:val="000000" w:themeColor="text1"/>
                <w14:textFill>
                  <w14:solidFill>
                    <w14:schemeClr w14:val="tx1"/>
                  </w14:solidFill>
                </w14:textFill>
              </w:rPr>
              <m:t>_symbol</m:t>
            </m:r>
            <m:ctrlPr>
              <w:rPr>
                <w:rFonts w:ascii="Cambria Math" w:hAnsi="Cambria Math" w:eastAsia="Osaka"/>
                <w:i/>
                <w:iCs/>
                <w:color w:val="000000" w:themeColor="text1"/>
                <w14:textFill>
                  <w14:solidFill>
                    <w14:schemeClr w14:val="tx1"/>
                  </w14:solidFill>
                </w14:textFill>
              </w:rPr>
            </m:ctrlPr>
          </m:sub>
        </m:sSub>
      </m:oMath>
      <w:r>
        <w:rPr>
          <w:rFonts w:eastAsia="Osaka"/>
          <w:i/>
          <w:iCs/>
          <w:color w:val="000000" w:themeColor="text1"/>
          <w14:textFill>
            <w14:solidFill>
              <w14:schemeClr w14:val="tx1"/>
            </w14:solidFill>
          </w14:textFill>
        </w:rPr>
        <w:t xml:space="preserve"> symbols where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m:t>
            </m:r>
            <m:r>
              <m:rPr/>
              <w:rPr>
                <w:rFonts w:ascii="Cambria Math" w:hAnsi="Cambria Math" w:eastAsiaTheme="minorEastAsia"/>
                <w:color w:val="000000" w:themeColor="text1"/>
                <w14:textFill>
                  <w14:solidFill>
                    <w14:schemeClr w14:val="tx1"/>
                  </w14:solidFill>
                </w14:textFill>
              </w:rPr>
              <m:t>_symbol</m:t>
            </m:r>
            <m:ctrlPr>
              <w:rPr>
                <w:rFonts w:ascii="Cambria Math" w:hAnsi="Cambria Math" w:eastAsia="Osaka"/>
                <w:i/>
                <w:iCs/>
                <w:color w:val="000000" w:themeColor="text1"/>
                <w14:textFill>
                  <w14:solidFill>
                    <w14:schemeClr w14:val="tx1"/>
                  </w14:solidFill>
                </w14:textFill>
              </w:rPr>
            </m:ctrlPr>
          </m:sub>
        </m:sSub>
        <m:r>
          <m:rPr/>
          <w:rPr>
            <w:rFonts w:ascii="Cambria Math" w:hAnsi="Cambria Math" w:eastAsia="Osaka"/>
            <w:color w:val="000000" w:themeColor="text1"/>
            <w14:textFill>
              <w14:solidFill>
                <w14:schemeClr w14:val="tx1"/>
              </w14:solidFill>
            </w14:textFill>
          </w:rPr>
          <m:t xml:space="preserve"> </m:t>
        </m:r>
      </m:oMath>
      <w:r>
        <w:rPr>
          <w:rFonts w:eastAsia="Osaka"/>
          <w:i/>
          <w:iCs/>
          <w:color w:val="000000" w:themeColor="text1"/>
          <w14:textFill>
            <w14:solidFill>
              <w14:schemeClr w14:val="tx1"/>
            </w14:solidFill>
          </w14:textFill>
        </w:rPr>
        <w:t xml:space="preserve"> is the number of dl symbols in a 10 ms measurement interval</w:t>
      </w:r>
      <w:r>
        <w:rPr>
          <w:i/>
          <w:iCs/>
          <w:color w:val="000000" w:themeColor="text1"/>
          <w:lang w:eastAsia="ko-KR"/>
          <w14:textFill>
            <w14:solidFill>
              <w14:schemeClr w14:val="tx1"/>
            </w14:solidFill>
          </w14:textFill>
        </w:rPr>
        <w:t>.</w:t>
      </w:r>
    </w:p>
    <w:p w14:paraId="56859452">
      <w:pPr>
        <w:overflowPunct w:val="0"/>
        <w:autoSpaceDE w:val="0"/>
        <w:autoSpaceDN w:val="0"/>
        <w:adjustRightInd w:val="0"/>
        <w:textAlignment w:val="baseline"/>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For TDD, l</w:t>
      </w:r>
      <w:r>
        <w:rPr>
          <w:i/>
          <w:iCs/>
          <w:color w:val="000000" w:themeColor="text1"/>
          <w14:textFill>
            <w14:solidFill>
              <w14:schemeClr w14:val="tx1"/>
            </w14:solidFill>
          </w14:textFill>
        </w:rPr>
        <w:t xml:space="preserve">et </w:t>
      </w:r>
      <m:oMath>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dl_symbols</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TDD</m:t>
            </m:r>
            <m:ctrlPr>
              <w:rPr>
                <w:rFonts w:ascii="Cambria Math" w:hAnsi="Cambria Math"/>
                <w:i/>
                <w:iCs/>
                <w:color w:val="000000" w:themeColor="text1"/>
                <w:lang w:eastAsia="ko-KR"/>
                <w14:textFill>
                  <w14:solidFill>
                    <w14:schemeClr w14:val="tx1"/>
                  </w14:solidFill>
                </w14:textFill>
              </w:rPr>
            </m:ctrlPr>
          </m:sup>
        </m:sSubSup>
      </m:oMath>
      <w:r>
        <w:rPr>
          <w:i/>
          <w:iCs/>
          <w:color w:val="000000" w:themeColor="text1"/>
          <w:lang w:eastAsia="ko-KR"/>
          <w14:textFill>
            <w14:solidFill>
              <w14:schemeClr w14:val="tx1"/>
            </w14:solidFill>
          </w14:textFill>
        </w:rPr>
        <w:t xml:space="preserve"> be the number of </w:t>
      </w:r>
      <w:r>
        <w:rPr>
          <w:i/>
          <w:iCs/>
          <w:color w:val="000000" w:themeColor="text1"/>
          <w14:textFill>
            <w14:solidFill>
              <w14:schemeClr w14:val="tx1"/>
            </w14:solidFill>
          </w14:textFill>
        </w:rPr>
        <w:t xml:space="preserve">downlink SBFD symbols or non-SBFD symbols </w:t>
      </w:r>
      <w:r>
        <w:rPr>
          <w:i/>
          <w:iCs/>
          <w:color w:val="000000" w:themeColor="text1"/>
          <w:lang w:eastAsia="ko-KR"/>
          <w14:textFill>
            <w14:solidFill>
              <w14:schemeClr w14:val="tx1"/>
            </w14:solidFill>
          </w14:textFill>
        </w:rPr>
        <w:t xml:space="preserve">within a 10 ms measurement interval, the averaging in the time domain can be calculated from </w:t>
      </w:r>
      <m:oMath>
        <m:r>
          <m:rPr/>
          <w:rPr>
            <w:rFonts w:ascii="Cambria Math" w:hAnsi="Cambria Math"/>
            <w:color w:val="000000" w:themeColor="text1"/>
            <w:lang w:eastAsia="ko-KR"/>
            <w14:textFill>
              <w14:solidFill>
                <w14:schemeClr w14:val="tx1"/>
              </w14:solidFill>
            </w14:textFill>
          </w:rPr>
          <m:t xml:space="preserve"> </m:t>
        </m:r>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dl_symbols</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TDD</m:t>
            </m:r>
            <m:ctrlPr>
              <w:rPr>
                <w:rFonts w:ascii="Cambria Math" w:hAnsi="Cambria Math"/>
                <w:i/>
                <w:iCs/>
                <w:color w:val="000000" w:themeColor="text1"/>
                <w:lang w:eastAsia="ko-KR"/>
                <w14:textFill>
                  <w14:solidFill>
                    <w14:schemeClr w14:val="tx1"/>
                  </w14:solidFill>
                </w14:textFill>
              </w:rPr>
            </m:ctrlPr>
          </m:sup>
        </m:sSubSup>
      </m:oMath>
      <w:r>
        <w:rPr>
          <w:i/>
          <w:iCs/>
          <w:color w:val="000000" w:themeColor="text1"/>
          <w14:textFill>
            <w14:solidFill>
              <w14:schemeClr w14:val="tx1"/>
            </w14:solidFill>
          </w14:textFill>
        </w:rPr>
        <w:t xml:space="preserve"> symbols </w:t>
      </w:r>
      <w:r>
        <w:rPr>
          <w:i/>
          <w:iCs/>
          <w:color w:val="000000" w:themeColor="text1"/>
          <w:lang w:eastAsia="ko-KR"/>
          <w14:textFill>
            <w14:solidFill>
              <w14:schemeClr w14:val="tx1"/>
            </w14:solidFill>
          </w14:textFill>
        </w:rPr>
        <w:t>of different 10 ms measurement intervals</w:t>
      </w:r>
      <w:r>
        <w:rPr>
          <w:i/>
          <w:iCs/>
          <w:color w:val="000000" w:themeColor="text1"/>
          <w14:textFill>
            <w14:solidFill>
              <w14:schemeClr w14:val="tx1"/>
            </w14:solidFill>
          </w14:textFill>
        </w:rPr>
        <w:t xml:space="preserve"> and should have a minimum of</w:t>
      </w:r>
      <w:r>
        <w:rPr>
          <w:i/>
          <w:iCs/>
          <w:color w:val="000000" w:themeColor="text1"/>
          <w:lang w:eastAsia="ko-KR"/>
          <w14:textFill>
            <w14:solidFill>
              <w14:schemeClr w14:val="tx1"/>
            </w14:solidFill>
          </w14:textFill>
        </w:rPr>
        <w:t xml:space="preserv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dl_symbol</m:t>
            </m:r>
            <m:ctrlPr>
              <w:rPr>
                <w:rFonts w:ascii="Cambria Math" w:hAnsi="Cambria Math" w:eastAsia="Osaka"/>
                <w:i/>
                <w:iCs/>
                <w:color w:val="000000" w:themeColor="text1"/>
                <w14:textFill>
                  <w14:solidFill>
                    <w14:schemeClr w14:val="tx1"/>
                  </w14:solidFill>
                </w14:textFill>
              </w:rPr>
            </m:ctrlPr>
          </m:sub>
        </m:sSub>
      </m:oMath>
      <w:r>
        <w:rPr>
          <w:rFonts w:eastAsia="Osaka"/>
          <w:i/>
          <w:iCs/>
          <w:color w:val="000000" w:themeColor="text1"/>
          <w14:textFill>
            <w14:solidFill>
              <w14:schemeClr w14:val="tx1"/>
            </w14:solidFill>
          </w14:textFill>
        </w:rPr>
        <w:t xml:space="preserve"> symbols averaging length where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dl_symbol</m:t>
            </m:r>
            <m:ctrlPr>
              <w:rPr>
                <w:rFonts w:ascii="Cambria Math" w:hAnsi="Cambria Math" w:eastAsia="Osaka"/>
                <w:i/>
                <w:iCs/>
                <w:color w:val="000000" w:themeColor="text1"/>
                <w14:textFill>
                  <w14:solidFill>
                    <w14:schemeClr w14:val="tx1"/>
                  </w14:solidFill>
                </w14:textFill>
              </w:rPr>
            </m:ctrlPr>
          </m:sub>
        </m:sSub>
      </m:oMath>
      <w:r>
        <w:rPr>
          <w:rFonts w:eastAsia="Osaka"/>
          <w:i/>
          <w:iCs/>
          <w:color w:val="000000" w:themeColor="text1"/>
          <w14:textFill>
            <w14:solidFill>
              <w14:schemeClr w14:val="tx1"/>
            </w14:solidFill>
          </w14:textFill>
        </w:rPr>
        <w:t xml:space="preserve"> is the number of symbols in a 10 ms measurement interval.</w:t>
      </w:r>
    </w:p>
    <w:p w14:paraId="4AB43FE4">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is </w:t>
      </w:r>
      <w:r>
        <w:rPr>
          <w:rFonts w:eastAsia="×–¾’©‘Ì"/>
          <w:i/>
          <w:iCs/>
          <w:color w:val="000000" w:themeColor="text1"/>
          <w14:textFill>
            <w14:solidFill>
              <w14:schemeClr w14:val="tx1"/>
            </w14:solidFill>
          </w14:textFill>
        </w:rPr>
        <w:t>derived by:</w:t>
      </w:r>
      <w:r>
        <w:rPr>
          <w:i/>
          <w:iCs/>
          <w:color w:val="000000" w:themeColor="text1"/>
          <w14:textFill>
            <w14:solidFill>
              <w14:schemeClr w14:val="tx1"/>
            </w14:solidFill>
          </w14:textFill>
        </w:rPr>
        <w:t xml:space="preserve"> Square the EVM results in each 10 ms measurement interval. Sum the squares, divide the sum by the number of EVM relevant locations, square-root the quotient (RMS).</w:t>
      </w:r>
    </w:p>
    <w:p w14:paraId="04775B94">
      <w:pPr>
        <w:pStyle w:val="53"/>
        <w:rPr>
          <w:i/>
          <w:iCs/>
          <w:color w:val="000000" w:themeColor="text1"/>
          <w:lang w:val="sv-FI"/>
          <w14:textFill>
            <w14:solidFill>
              <w14:schemeClr w14:val="tx1"/>
            </w14:solidFill>
          </w14:textFill>
        </w:rPr>
      </w:pPr>
      <m:oMathPara>
        <m:oMathParaPr>
          <m:jc m:val="left"/>
        </m:oMathParaPr>
        <m:oMath>
          <m:sSub>
            <m:sSubPr>
              <m:ctrlPr>
                <w:rPr>
                  <w:rFonts w:ascii="Cambria Math" w:hAnsi="Cambria Math"/>
                  <w:i/>
                  <w:iCs/>
                  <w:color w:val="000000" w:themeColor="text1"/>
                  <w14:textFill>
                    <w14:solidFill>
                      <w14:schemeClr w14:val="tx1"/>
                    </w14:solidFill>
                  </w14:textFill>
                </w:rPr>
              </m:ctrlPr>
            </m:sSubPr>
            <m:e>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EVM</m:t>
                  </m:r>
                  <m:ctrlPr>
                    <w:rPr>
                      <w:rFonts w:ascii="Cambria Math" w:hAnsi="Cambria Math"/>
                      <w:i/>
                      <w:iCs/>
                      <w:color w:val="000000" w:themeColor="text1"/>
                      <w14:textFill>
                        <w14:solidFill>
                          <w14:schemeClr w14:val="tx1"/>
                        </w14:solidFill>
                      </w14:textFill>
                    </w:rPr>
                  </m:ctrlPr>
                </m:e>
              </m:acc>
              <m:ctrlPr>
                <w:rPr>
                  <w:rFonts w:ascii="Cambria Math" w:hAnsi="Cambria Math"/>
                  <w:i/>
                  <w:iCs/>
                  <w:color w:val="000000" w:themeColor="text1"/>
                  <w14:textFill>
                    <w14:solidFill>
                      <w14:schemeClr w14:val="tx1"/>
                    </w14:solidFill>
                  </w14:textFill>
                </w:rPr>
              </m:ctrlPr>
            </m:e>
            <m:sub>
              <m:r>
                <m:rPr>
                  <m:nor/>
                </m:rPr>
                <w:rPr>
                  <w:i/>
                  <w:iCs/>
                  <w:color w:val="000000" w:themeColor="text1"/>
                  <w:lang w:val="sv-FI"/>
                  <w14:textFill>
                    <w14:solidFill>
                      <w14:schemeClr w14:val="tx1"/>
                    </w14:solidFill>
                  </w14:textFill>
                </w:rPr>
                <m:t>frame</m:t>
              </m:r>
              <m:ctrlPr>
                <w:rPr>
                  <w:rFonts w:ascii="Cambria Math" w:hAnsi="Cambria Math"/>
                  <w:i/>
                  <w:iCs/>
                  <w:color w:val="000000" w:themeColor="text1"/>
                  <w14:textFill>
                    <w14:solidFill>
                      <w14:schemeClr w14:val="tx1"/>
                    </w14:solidFill>
                  </w14:textFill>
                </w:rPr>
              </m:ctrlPr>
            </m:sub>
          </m:sSub>
          <m:r>
            <m:rPr/>
            <w:rPr>
              <w:rFonts w:ascii="Cambria Math" w:hAnsi="Cambria Math"/>
              <w:color w:val="000000" w:themeColor="text1"/>
              <w:lang w:val="sv-FI"/>
              <w14:textFill>
                <w14:solidFill>
                  <w14:schemeClr w14:val="tx1"/>
                </w14:solidFill>
              </w14:textFill>
            </w:rPr>
            <m:t>=</m:t>
          </m:r>
          <m:rad>
            <m:radPr>
              <m:degHide m:val="1"/>
              <m:ctrlPr>
                <w:rPr>
                  <w:rFonts w:ascii="Cambria Math" w:hAnsi="Cambria Math"/>
                  <w:i/>
                  <w:iCs/>
                  <w:color w:val="000000" w:themeColor="text1"/>
                  <w14:textFill>
                    <w14:solidFill>
                      <w14:schemeClr w14:val="tx1"/>
                    </w14:solidFill>
                  </w14:textFill>
                </w:rPr>
              </m:ctrlPr>
            </m:radPr>
            <m:deg>
              <m:ctrlPr>
                <w:rPr>
                  <w:rFonts w:ascii="Cambria Math" w:hAnsi="Cambria Math"/>
                  <w:i/>
                  <w:iCs/>
                  <w:color w:val="000000" w:themeColor="text1"/>
                  <w14:textFill>
                    <w14:solidFill>
                      <w14:schemeClr w14:val="tx1"/>
                    </w14:solidFill>
                  </w14:textFill>
                </w:rPr>
              </m:ctrlPr>
            </m:deg>
            <m:e>
              <m:f>
                <m:fPr>
                  <m:ctrlPr>
                    <w:rPr>
                      <w:rFonts w:ascii="Cambria Math" w:hAnsi="Cambria Math"/>
                      <w:i/>
                      <w:iCs/>
                      <w:color w:val="000000" w:themeColor="text1"/>
                      <w14:textFill>
                        <w14:solidFill>
                          <w14:schemeClr w14:val="tx1"/>
                        </w14:solidFill>
                      </w14:textFill>
                    </w:rPr>
                  </m:ctrlPr>
                </m:fPr>
                <m:num>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num>
                <m:den>
                  <m:nary>
                    <m:naryPr>
                      <m:chr m:val="∑"/>
                      <m:limLoc m:val="undOvr"/>
                      <m:ctrlPr>
                        <w:rPr>
                          <w:rFonts w:ascii="Cambria Math" w:hAnsi="Cambria Math"/>
                          <w:i/>
                          <w:iCs/>
                          <w:color w:val="000000" w:themeColor="text1"/>
                          <w14:textFill>
                            <w14:solidFill>
                              <w14:schemeClr w14:val="tx1"/>
                            </w14:solidFill>
                          </w14:textFill>
                        </w:rPr>
                      </m:ctrlPr>
                    </m:naryPr>
                    <m:sub>
                      <m:r>
                        <m:rPr/>
                        <w:rPr>
                          <w:rFonts w:ascii="Cambria Math" w:hAnsi="Cambria Math"/>
                          <w:color w:val="000000" w:themeColor="text1"/>
                          <w14:textFill>
                            <w14:solidFill>
                              <w14:schemeClr w14:val="tx1"/>
                            </w14:solidFill>
                          </w14:textFill>
                        </w:rPr>
                        <m:t>i</m:t>
                      </m:r>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sub>
                    <m:sup>
                      <m:sSubSup>
                        <m:sSubSupPr>
                          <m:ctrlPr>
                            <w:rPr>
                              <w:rFonts w:ascii="Cambria Math" w:hAnsi="Cambria Math"/>
                              <w:i/>
                              <w:iCs/>
                              <w:color w:val="000000" w:themeColor="text1"/>
                              <w14:textFill>
                                <w14:solidFill>
                                  <w14:schemeClr w14:val="tx1"/>
                                </w14:solidFill>
                              </w14:textFill>
                            </w:rPr>
                          </m:ctrlPr>
                        </m:sSubSup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dl_symbol</m:t>
                          </m:r>
                          <m:ctrlPr>
                            <w:rPr>
                              <w:rFonts w:ascii="Cambria Math" w:hAnsi="Cambria Math"/>
                              <w:i/>
                              <w:iCs/>
                              <w:color w:val="000000" w:themeColor="text1"/>
                              <w14:textFill>
                                <w14:solidFill>
                                  <w14:schemeClr w14:val="tx1"/>
                                </w14:solidFill>
                              </w14:textFill>
                            </w:rPr>
                          </m:ctrlPr>
                        </m:sub>
                        <m:sup>
                          <m:r>
                            <m:rPr/>
                            <w:rPr>
                              <w:rFonts w:ascii="Cambria Math" w:hAnsi="Cambria Math"/>
                              <w:color w:val="000000" w:themeColor="text1"/>
                              <w14:textFill>
                                <w14:solidFill>
                                  <w14:schemeClr w14:val="tx1"/>
                                </w14:solidFill>
                              </w14:textFill>
                            </w:rPr>
                            <m:t>TDD</m:t>
                          </m:r>
                          <m:ctrlPr>
                            <w:rPr>
                              <w:rFonts w:ascii="Cambria Math" w:hAnsi="Cambria Math"/>
                              <w:i/>
                              <w:iCs/>
                              <w:color w:val="000000" w:themeColor="text1"/>
                              <w14:textFill>
                                <w14:solidFill>
                                  <w14:schemeClr w14:val="tx1"/>
                                </w14:solidFill>
                              </w14:textFill>
                            </w:rPr>
                          </m:ctrlPr>
                        </m:sup>
                      </m:sSubSup>
                      <m:ctrlPr>
                        <w:rPr>
                          <w:rFonts w:ascii="Cambria Math" w:hAnsi="Cambria Math"/>
                          <w:i/>
                          <w:iCs/>
                          <w:color w:val="000000" w:themeColor="text1"/>
                          <w14:textFill>
                            <w14:solidFill>
                              <w14:schemeClr w14:val="tx1"/>
                            </w14:solidFill>
                          </w14:textFill>
                        </w:rPr>
                      </m:ctrlPr>
                    </m:sup>
                    <m:e>
                      <m:sSub>
                        <m:sSubPr>
                          <m:ctrlPr>
                            <w:rPr>
                              <w:rFonts w:ascii="Cambria Math" w:hAnsi="Cambria Math"/>
                              <w:i/>
                              <w:iCs/>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i</m:t>
                          </m:r>
                          <m:ctrlPr>
                            <w:rPr>
                              <w:rFonts w:ascii="Cambria Math" w:hAnsi="Cambria Math"/>
                              <w:i/>
                              <w:iCs/>
                              <w:color w:val="000000" w:themeColor="text1"/>
                              <w14:textFill>
                                <w14:solidFill>
                                  <w14:schemeClr w14:val="tx1"/>
                                </w14:solidFill>
                              </w14:textFill>
                            </w:rPr>
                          </m:ctrlPr>
                        </m:sub>
                      </m:sSub>
                      <m:ctrlPr>
                        <w:rPr>
                          <w:rFonts w:ascii="Cambria Math" w:hAnsi="Cambria Math"/>
                          <w:i/>
                          <w:iCs/>
                          <w:color w:val="000000" w:themeColor="text1"/>
                          <w14:textFill>
                            <w14:solidFill>
                              <w14:schemeClr w14:val="tx1"/>
                            </w14:solidFill>
                          </w14:textFill>
                        </w:rPr>
                      </m:ctrlPr>
                    </m:e>
                  </m:nary>
                  <m:ctrlPr>
                    <w:rPr>
                      <w:rFonts w:ascii="Cambria Math" w:hAnsi="Cambria Math"/>
                      <w:i/>
                      <w:iCs/>
                      <w:color w:val="000000" w:themeColor="text1"/>
                      <w14:textFill>
                        <w14:solidFill>
                          <w14:schemeClr w14:val="tx1"/>
                        </w14:solidFill>
                      </w14:textFill>
                    </w:rPr>
                  </m:ctrlPr>
                </m:den>
              </m:f>
              <m:nary>
                <m:naryPr>
                  <m:chr m:val="∑"/>
                  <m:limLoc m:val="undOvr"/>
                  <m:ctrlPr>
                    <w:rPr>
                      <w:rFonts w:ascii="Cambria Math" w:hAnsi="Cambria Math"/>
                      <w:i/>
                      <w:iCs/>
                      <w:color w:val="000000" w:themeColor="text1"/>
                      <w14:textFill>
                        <w14:solidFill>
                          <w14:schemeClr w14:val="tx1"/>
                        </w14:solidFill>
                      </w14:textFill>
                    </w:rPr>
                  </m:ctrlPr>
                </m:naryPr>
                <m:sub>
                  <m:r>
                    <m:rPr/>
                    <w:rPr>
                      <w:rFonts w:ascii="Cambria Math" w:hAnsi="Cambria Math"/>
                      <w:color w:val="000000" w:themeColor="text1"/>
                      <w14:textFill>
                        <w14:solidFill>
                          <w14:schemeClr w14:val="tx1"/>
                        </w14:solidFill>
                      </w14:textFill>
                    </w:rPr>
                    <m:t>i</m:t>
                  </m:r>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sub>
                <m:sup>
                  <m:sSubSup>
                    <m:sSubSupPr>
                      <m:ctrlPr>
                        <w:rPr>
                          <w:rFonts w:ascii="Cambria Math" w:hAnsi="Cambria Math"/>
                          <w:i/>
                          <w:iCs/>
                          <w:color w:val="000000" w:themeColor="text1"/>
                          <w14:textFill>
                            <w14:solidFill>
                              <w14:schemeClr w14:val="tx1"/>
                            </w14:solidFill>
                          </w14:textFill>
                        </w:rPr>
                      </m:ctrlPr>
                    </m:sSubSup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dl_symbol</m:t>
                      </m:r>
                      <m:ctrlPr>
                        <w:rPr>
                          <w:rFonts w:ascii="Cambria Math" w:hAnsi="Cambria Math"/>
                          <w:i/>
                          <w:iCs/>
                          <w:color w:val="000000" w:themeColor="text1"/>
                          <w14:textFill>
                            <w14:solidFill>
                              <w14:schemeClr w14:val="tx1"/>
                            </w14:solidFill>
                          </w14:textFill>
                        </w:rPr>
                      </m:ctrlPr>
                    </m:sub>
                    <m:sup>
                      <m:r>
                        <m:rPr/>
                        <w:rPr>
                          <w:rFonts w:ascii="Cambria Math" w:hAnsi="Cambria Math"/>
                          <w:color w:val="000000" w:themeColor="text1"/>
                          <w14:textFill>
                            <w14:solidFill>
                              <w14:schemeClr w14:val="tx1"/>
                            </w14:solidFill>
                          </w14:textFill>
                        </w:rPr>
                        <m:t>TDD</m:t>
                      </m:r>
                      <m:ctrlPr>
                        <w:rPr>
                          <w:rFonts w:ascii="Cambria Math" w:hAnsi="Cambria Math"/>
                          <w:i/>
                          <w:iCs/>
                          <w:color w:val="000000" w:themeColor="text1"/>
                          <w14:textFill>
                            <w14:solidFill>
                              <w14:schemeClr w14:val="tx1"/>
                            </w14:solidFill>
                          </w14:textFill>
                        </w:rPr>
                      </m:ctrlPr>
                    </m:sup>
                  </m:sSubSup>
                  <m:ctrlPr>
                    <w:rPr>
                      <w:rFonts w:ascii="Cambria Math" w:hAnsi="Cambria Math"/>
                      <w:i/>
                      <w:iCs/>
                      <w:color w:val="000000" w:themeColor="text1"/>
                      <w14:textFill>
                        <w14:solidFill>
                          <w14:schemeClr w14:val="tx1"/>
                        </w14:solidFill>
                      </w14:textFill>
                    </w:rPr>
                  </m:ctrlPr>
                </m:sup>
                <m:e>
                  <m:nary>
                    <m:naryPr>
                      <m:chr m:val="∑"/>
                      <m:limLoc m:val="undOvr"/>
                      <m:ctrlPr>
                        <w:rPr>
                          <w:rFonts w:ascii="Cambria Math" w:hAnsi="Cambria Math"/>
                          <w:i/>
                          <w:iCs/>
                          <w:color w:val="000000" w:themeColor="text1"/>
                          <w14:textFill>
                            <w14:solidFill>
                              <w14:schemeClr w14:val="tx1"/>
                            </w14:solidFill>
                          </w14:textFill>
                        </w:rPr>
                      </m:ctrlPr>
                    </m:naryPr>
                    <m:sub>
                      <m:r>
                        <m:rPr/>
                        <w:rPr>
                          <w:rFonts w:ascii="Cambria Math" w:hAnsi="Cambria Math"/>
                          <w:color w:val="000000" w:themeColor="text1"/>
                          <w14:textFill>
                            <w14:solidFill>
                              <w14:schemeClr w14:val="tx1"/>
                            </w14:solidFill>
                          </w14:textFill>
                        </w:rPr>
                        <m:t>j</m:t>
                      </m:r>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sub>
                    <m:sup>
                      <m:sSub>
                        <m:sSubPr>
                          <m:ctrlPr>
                            <w:rPr>
                              <w:rFonts w:ascii="Cambria Math" w:hAnsi="Cambria Math"/>
                              <w:i/>
                              <w:iCs/>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i</m:t>
                          </m:r>
                          <m:ctrlPr>
                            <w:rPr>
                              <w:rFonts w:ascii="Cambria Math" w:hAnsi="Cambria Math"/>
                              <w:i/>
                              <w:iCs/>
                              <w:color w:val="000000" w:themeColor="text1"/>
                              <w14:textFill>
                                <w14:solidFill>
                                  <w14:schemeClr w14:val="tx1"/>
                                </w14:solidFill>
                              </w14:textFill>
                            </w:rPr>
                          </m:ctrlPr>
                        </m:sub>
                      </m:sSub>
                      <m:ctrlPr>
                        <w:rPr>
                          <w:rFonts w:ascii="Cambria Math" w:hAnsi="Cambria Math"/>
                          <w:i/>
                          <w:iCs/>
                          <w:color w:val="000000" w:themeColor="text1"/>
                          <w14:textFill>
                            <w14:solidFill>
                              <w14:schemeClr w14:val="tx1"/>
                            </w14:solidFill>
                          </w14:textFill>
                        </w:rPr>
                      </m:ctrlPr>
                    </m:sup>
                    <m:e>
                      <m:sSubSup>
                        <m:sSubSupPr>
                          <m:ctrlPr>
                            <w:rPr>
                              <w:rFonts w:ascii="Cambria Math" w:hAnsi="Cambria Math"/>
                              <w:i/>
                              <w:iCs/>
                              <w:color w:val="000000" w:themeColor="text1"/>
                              <w14:textFill>
                                <w14:solidFill>
                                  <w14:schemeClr w14:val="tx1"/>
                                </w14:solidFill>
                              </w14:textFill>
                            </w:rPr>
                          </m:ctrlPr>
                        </m:sSubSupPr>
                        <m:e>
                          <m:r>
                            <m:rPr/>
                            <w:rPr>
                              <w:rFonts w:ascii="Cambria Math" w:hAnsi="Cambria Math"/>
                              <w:color w:val="000000" w:themeColor="text1"/>
                              <w14:textFill>
                                <w14:solidFill>
                                  <w14:schemeClr w14:val="tx1"/>
                                </w14:solidFill>
                              </w14:textFill>
                            </w:rPr>
                            <m:t>EVM</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i</m:t>
                          </m:r>
                          <m:r>
                            <m:rPr/>
                            <w:rPr>
                              <w:rFonts w:ascii="Cambria Math" w:hAnsi="Cambria Math"/>
                              <w:color w:val="000000" w:themeColor="text1"/>
                              <w:lang w:val="sv-FI"/>
                              <w14:textFill>
                                <w14:solidFill>
                                  <w14:schemeClr w14:val="tx1"/>
                                </w14:solidFill>
                              </w14:textFill>
                            </w:rPr>
                            <m:t>,</m:t>
                          </m:r>
                          <m:r>
                            <m:rPr/>
                            <w:rPr>
                              <w:rFonts w:ascii="Cambria Math" w:hAnsi="Cambria Math"/>
                              <w:color w:val="000000" w:themeColor="text1"/>
                              <w14:textFill>
                                <w14:solidFill>
                                  <w14:schemeClr w14:val="tx1"/>
                                </w14:solidFill>
                              </w14:textFill>
                            </w:rPr>
                            <m:t>j</m:t>
                          </m:r>
                          <m:ctrlPr>
                            <w:rPr>
                              <w:rFonts w:ascii="Cambria Math" w:hAnsi="Cambria Math"/>
                              <w:i/>
                              <w:iCs/>
                              <w:color w:val="000000" w:themeColor="text1"/>
                              <w14:textFill>
                                <w14:solidFill>
                                  <w14:schemeClr w14:val="tx1"/>
                                </w14:solidFill>
                              </w14:textFill>
                            </w:rPr>
                          </m:ctrlPr>
                        </m:sub>
                        <m:sup>
                          <m:r>
                            <m:rPr/>
                            <w:rPr>
                              <w:rFonts w:ascii="Cambria Math" w:hAnsi="Cambria Math"/>
                              <w:color w:val="000000" w:themeColor="text1"/>
                              <w:lang w:val="sv-FI"/>
                              <w14:textFill>
                                <w14:solidFill>
                                  <w14:schemeClr w14:val="tx1"/>
                                </w14:solidFill>
                              </w14:textFill>
                            </w:rPr>
                            <m:t>2</m:t>
                          </m:r>
                          <m:ctrlPr>
                            <w:rPr>
                              <w:rFonts w:ascii="Cambria Math" w:hAnsi="Cambria Math"/>
                              <w:i/>
                              <w:iCs/>
                              <w:color w:val="000000" w:themeColor="text1"/>
                              <w14:textFill>
                                <w14:solidFill>
                                  <w14:schemeClr w14:val="tx1"/>
                                </w14:solidFill>
                              </w14:textFill>
                            </w:rPr>
                          </m:ctrlPr>
                        </m:sup>
                      </m:sSubSup>
                      <m:ctrlPr>
                        <w:rPr>
                          <w:rFonts w:ascii="Cambria Math" w:hAnsi="Cambria Math"/>
                          <w:i/>
                          <w:iCs/>
                          <w:color w:val="000000" w:themeColor="text1"/>
                          <w14:textFill>
                            <w14:solidFill>
                              <w14:schemeClr w14:val="tx1"/>
                            </w14:solidFill>
                          </w14:textFill>
                        </w:rPr>
                      </m:ctrlPr>
                    </m:e>
                  </m:nary>
                  <m:ctrlPr>
                    <w:rPr>
                      <w:rFonts w:ascii="Cambria Math" w:hAnsi="Cambria Math"/>
                      <w:i/>
                      <w:iCs/>
                      <w:color w:val="000000" w:themeColor="text1"/>
                      <w14:textFill>
                        <w14:solidFill>
                          <w14:schemeClr w14:val="tx1"/>
                        </w14:solidFill>
                      </w14:textFill>
                    </w:rPr>
                  </m:ctrlPr>
                </m:e>
              </m:nary>
              <m:ctrlPr>
                <w:rPr>
                  <w:rFonts w:ascii="Cambria Math" w:hAnsi="Cambria Math"/>
                  <w:i/>
                  <w:iCs/>
                  <w:color w:val="000000" w:themeColor="text1"/>
                  <w14:textFill>
                    <w14:solidFill>
                      <w14:schemeClr w14:val="tx1"/>
                    </w14:solidFill>
                  </w14:textFill>
                </w:rPr>
              </m:ctrlPr>
            </m:e>
          </m:rad>
        </m:oMath>
      </m:oMathPara>
    </w:p>
    <w:p w14:paraId="152465B5">
      <w:pPr>
        <w:pStyle w:val="53"/>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lang w:eastAsia="ko-KR"/>
          <w14:textFill>
            <w14:solidFill>
              <w14:schemeClr w14:val="tx1"/>
            </w14:solidFill>
          </w14:textFill>
        </w:rPr>
        <w:t xml:space="preserve">Where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i</m:t>
            </m:r>
            <m:ctrlPr>
              <w:rPr>
                <w:rFonts w:ascii="Cambria Math" w:hAnsi="Cambria Math" w:eastAsia="Osaka"/>
                <w:i/>
                <w:iCs/>
                <w:color w:val="000000" w:themeColor="text1"/>
                <w14:textFill>
                  <w14:solidFill>
                    <w14:schemeClr w14:val="tx1"/>
                  </w14:solidFill>
                </w14:textFill>
              </w:rPr>
            </m:ctrlPr>
          </m:sub>
        </m:sSub>
      </m:oMath>
      <w:r>
        <w:rPr>
          <w:i/>
          <w:iCs/>
          <w:color w:val="000000" w:themeColor="text1"/>
          <w:lang w:eastAsia="ko-KR"/>
          <w14:textFill>
            <w14:solidFill>
              <w14:schemeClr w14:val="tx1"/>
            </w14:solidFill>
          </w14:textFill>
        </w:rPr>
        <w:t xml:space="preserve"> is the number of resource blocks with the considered modulation scheme in symbol i.</w:t>
      </w:r>
    </w:p>
    <w:p w14:paraId="001F2B9A">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14:textFill>
            <w14:solidFill>
              <w14:schemeClr w14:val="tx1"/>
            </w14:solidFill>
          </w14:textFill>
        </w:rPr>
        <w:t xml:space="preserve">The </w:t>
      </w:r>
      <m:oMath>
        <m:sSub>
          <m:sSubPr>
            <m:ctrlPr>
              <w:rPr>
                <w:rFonts w:ascii="Cambria Math" w:hAnsi="Cambria Math" w:eastAsia="×–¾’©‘Ì"/>
                <w:i/>
                <w:iCs/>
                <w:color w:val="000000" w:themeColor="text1"/>
                <w14:textFill>
                  <w14:solidFill>
                    <w14:schemeClr w14:val="tx1"/>
                  </w14:solidFill>
                </w14:textFill>
              </w:rPr>
            </m:ctrlPr>
          </m:sSub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is calculated, using the maximum of </w:t>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at the window W extremities. Thus </w:t>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frame,l</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is calculated using </w:t>
      </w:r>
      <m:oMath>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r>
          <m:rPr/>
          <w:rPr>
            <w:rFonts w:ascii="Cambria Math" w:hAnsi="Cambria Math"/>
            <w:color w:val="000000" w:themeColor="text1"/>
            <w14:textFill>
              <w14:solidFill>
                <w14:schemeClr w14:val="tx1"/>
              </w14:solidFill>
            </w14:textFill>
          </w:rPr>
          <m:t>=∆</m:t>
        </m:r>
        <m:sSub>
          <m:sSubPr>
            <m:ctrlPr>
              <w:rPr>
                <w:rFonts w:ascii="Cambria Math" w:hAnsi="Cambria Math"/>
                <w:i/>
                <w:iCs/>
                <w:color w:val="000000" w:themeColor="text1"/>
                <w14:textFill>
                  <w14:solidFill>
                    <w14:schemeClr w14:val="tx1"/>
                  </w14:solidFill>
                </w14:textFill>
              </w:rPr>
            </m:ctrlPr>
          </m:sSubPr>
          <m:e>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l</m:t>
            </m:r>
            <m:ctrlPr>
              <w:rPr>
                <w:rFonts w:ascii="Cambria Math" w:hAnsi="Cambria Math"/>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and </w:t>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frame,h</m:t>
            </m:r>
            <m:ctrlPr>
              <w:rPr>
                <w:rFonts w:ascii="Cambria Math" w:hAnsi="Cambria Math" w:eastAsia="×–¾’©‘Ì"/>
                <w:i/>
                <w:iCs/>
                <w:color w:val="000000" w:themeColor="text1"/>
                <w14:textFill>
                  <w14:solidFill>
                    <w14:schemeClr w14:val="tx1"/>
                  </w14:solidFill>
                </w14:textFill>
              </w:rPr>
            </m:ctrlPr>
          </m:sub>
        </m:sSub>
      </m:oMath>
      <w:r>
        <w:rPr>
          <w:rFonts w:eastAsia="×–¾’©‘Ì"/>
          <w:i/>
          <w:iCs/>
          <w:color w:val="000000" w:themeColor="text1"/>
          <w14:textFill>
            <w14:solidFill>
              <w14:schemeClr w14:val="tx1"/>
            </w14:solidFill>
          </w14:textFill>
        </w:rPr>
        <w:t xml:space="preserve"> i</w:t>
      </w:r>
      <w:r>
        <w:rPr>
          <w:i/>
          <w:iCs/>
          <w:color w:val="000000" w:themeColor="text1"/>
          <w14:textFill>
            <w14:solidFill>
              <w14:schemeClr w14:val="tx1"/>
            </w14:solidFill>
          </w14:textFill>
        </w:rPr>
        <w:t xml:space="preserve">s calculated using </w:t>
      </w:r>
      <m:oMath>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r>
          <m:rPr/>
          <w:rPr>
            <w:rFonts w:ascii="Cambria Math" w:hAnsi="Cambria Math"/>
            <w:color w:val="000000" w:themeColor="text1"/>
            <w14:textFill>
              <w14:solidFill>
                <w14:schemeClr w14:val="tx1"/>
              </w14:solidFill>
            </w14:textFill>
          </w:rPr>
          <m:t>=∆</m:t>
        </m:r>
        <m:sSub>
          <m:sSubPr>
            <m:ctrlPr>
              <w:rPr>
                <w:rFonts w:ascii="Cambria Math" w:hAnsi="Cambria Math"/>
                <w:i/>
                <w:iCs/>
                <w:color w:val="000000" w:themeColor="text1"/>
                <w14:textFill>
                  <w14:solidFill>
                    <w14:schemeClr w14:val="tx1"/>
                  </w14:solidFill>
                </w14:textFill>
              </w:rPr>
            </m:ctrlPr>
          </m:sSubPr>
          <m:e>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ℎ</m:t>
            </m:r>
            <m:ctrlPr>
              <w:rPr>
                <w:rFonts w:ascii="Cambria Math" w:hAnsi="Cambria Math"/>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(l and h, low and high; where low is the timing </w:t>
      </w:r>
      <m:oMath>
        <m:d>
          <m:dPr>
            <m:ctrlPr>
              <w:rPr>
                <w:rFonts w:ascii="Cambria Math" w:hAnsi="Cambria Math"/>
                <w:i/>
                <w:iCs/>
                <w:color w:val="000000" w:themeColor="text1"/>
                <w14:textFill>
                  <w14:solidFill>
                    <w14:schemeClr w14:val="tx1"/>
                  </w14:solidFill>
                </w14:textFill>
              </w:rPr>
            </m:ctrlPr>
          </m:dPr>
          <m:e>
            <m:r>
              <m:rPr/>
              <w:rPr>
                <w:rFonts w:ascii="Cambria Math" w:hAnsi="Cambria Math"/>
                <w:color w:val="000000" w:themeColor="text1"/>
                <w14:textFill>
                  <w14:solidFill>
                    <w14:schemeClr w14:val="tx1"/>
                  </w14:solidFill>
                </w14:textFill>
              </w:rPr>
              <m:t>∆c−W/2</m:t>
            </m:r>
            <m:ctrlPr>
              <w:rPr>
                <w:rFonts w:ascii="Cambria Math" w:hAnsi="Cambria Math"/>
                <w:i/>
                <w:iCs/>
                <w:color w:val="000000" w:themeColor="text1"/>
                <w14:textFill>
                  <w14:solidFill>
                    <w14:schemeClr w14:val="tx1"/>
                  </w14:solidFill>
                </w14:textFill>
              </w:rPr>
            </m:ctrlPr>
          </m:e>
        </m:d>
      </m:oMath>
      <w:r>
        <w:rPr>
          <w:i/>
          <w:iCs/>
          <w:color w:val="000000" w:themeColor="text1"/>
          <w14:textFill>
            <w14:solidFill>
              <w14:schemeClr w14:val="tx1"/>
            </w14:solidFill>
          </w14:textFill>
        </w:rPr>
        <w:t xml:space="preserve"> and and high is the timing </w:t>
      </w:r>
      <m:oMath>
        <m:d>
          <m:dPr>
            <m:ctrlPr>
              <w:rPr>
                <w:rFonts w:ascii="Cambria Math" w:hAnsi="Cambria Math"/>
                <w:i/>
                <w:iCs/>
                <w:color w:val="000000" w:themeColor="text1"/>
                <w14:textFill>
                  <w14:solidFill>
                    <w14:schemeClr w14:val="tx1"/>
                  </w14:solidFill>
                </w14:textFill>
              </w:rPr>
            </m:ctrlPr>
          </m:dPr>
          <m:e>
            <m:r>
              <m:rPr/>
              <w:rPr>
                <w:rFonts w:ascii="Cambria Math" w:hAnsi="Cambria Math"/>
                <w:color w:val="000000" w:themeColor="text1"/>
                <w14:textFill>
                  <w14:solidFill>
                    <w14:schemeClr w14:val="tx1"/>
                  </w14:solidFill>
                </w14:textFill>
              </w:rPr>
              <m:t>∆c+W/2</m:t>
            </m:r>
            <m:ctrlPr>
              <w:rPr>
                <w:rFonts w:ascii="Cambria Math" w:hAnsi="Cambria Math"/>
                <w:i/>
                <w:iCs/>
                <w:color w:val="000000" w:themeColor="text1"/>
                <w14:textFill>
                  <w14:solidFill>
                    <w14:schemeClr w14:val="tx1"/>
                  </w14:solidFill>
                </w14:textFill>
              </w:rPr>
            </m:ctrlPr>
          </m:e>
        </m:d>
      </m:oMath>
      <w:r>
        <w:rPr>
          <w:i/>
          <w:iCs/>
          <w:color w:val="000000" w:themeColor="text1"/>
          <w14:textFill>
            <w14:solidFill>
              <w14:schemeClr w14:val="tx1"/>
            </w14:solidFill>
          </w14:textFill>
        </w:rPr>
        <w:t>).</w:t>
      </w:r>
    </w:p>
    <w:p w14:paraId="70CB0024">
      <w:pPr>
        <w:pStyle w:val="46"/>
        <w:jc w:val="center"/>
        <w:rPr>
          <w:i/>
          <w:iCs/>
          <w:color w:val="000000" w:themeColor="text1"/>
          <w14:textFill>
            <w14:solidFill>
              <w14:schemeClr w14:val="tx1"/>
            </w14:solidFill>
          </w14:textFill>
        </w:rPr>
      </w:pPr>
      <m:oMathPara>
        <m:oMath>
          <m:sSub>
            <m:sSubPr>
              <m:ctrlPr>
                <w:rPr>
                  <w:rFonts w:ascii="Cambria Math" w:hAnsi="Cambria Math" w:eastAsia="×–¾’©‘Ì"/>
                  <w:i/>
                  <w:iCs/>
                  <w:color w:val="000000" w:themeColor="text1"/>
                  <w14:textFill>
                    <w14:solidFill>
                      <w14:schemeClr w14:val="tx1"/>
                    </w14:solidFill>
                  </w14:textFill>
                </w:rPr>
              </m:ctrlPr>
            </m:sSub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r>
            <m:rPr/>
            <w:rPr>
              <w:rFonts w:ascii="Cambria Math" w:hAnsi="Cambria Math" w:eastAsia="×–¾’©‘Ì"/>
              <w:color w:val="000000" w:themeColor="text1"/>
              <w14:textFill>
                <w14:solidFill>
                  <w14:schemeClr w14:val="tx1"/>
                </w14:solidFill>
              </w14:textFill>
            </w:rPr>
            <m:t>=</m:t>
          </m:r>
          <m:func>
            <m:funcPr>
              <m:ctrlPr>
                <w:rPr>
                  <w:rFonts w:ascii="Cambria Math" w:hAnsi="Cambria Math" w:eastAsia="×–¾’©‘Ì"/>
                  <w:i/>
                  <w:iCs/>
                  <w:color w:val="000000" w:themeColor="text1"/>
                  <w14:textFill>
                    <w14:solidFill>
                      <w14:schemeClr w14:val="tx1"/>
                    </w14:solidFill>
                  </w14:textFill>
                </w:rPr>
              </m:ctrlPr>
            </m:funcPr>
            <m:fName>
              <m:r>
                <m:rPr/>
                <w:rPr>
                  <w:rFonts w:ascii="Cambria Math" w:hAnsi="Cambria Math" w:eastAsia="×–¾’©‘Ì"/>
                  <w:color w:val="000000" w:themeColor="text1"/>
                  <w14:textFill>
                    <w14:solidFill>
                      <w14:schemeClr w14:val="tx1"/>
                    </w14:solidFill>
                  </w14:textFill>
                </w:rPr>
                <m:t>max</m:t>
              </m:r>
              <m:ctrlPr>
                <w:rPr>
                  <w:rFonts w:ascii="Cambria Math" w:hAnsi="Cambria Math" w:eastAsia="×–¾’©‘Ì"/>
                  <w:i/>
                  <w:iCs/>
                  <w:color w:val="000000" w:themeColor="text1"/>
                  <w14:textFill>
                    <w14:solidFill>
                      <w14:schemeClr w14:val="tx1"/>
                    </w14:solidFill>
                  </w14:textFill>
                </w:rPr>
              </m:ctrlPr>
            </m:fName>
            <m:e>
              <m:d>
                <m:dPr>
                  <m:ctrlPr>
                    <w:rPr>
                      <w:rFonts w:ascii="Cambria Math" w:hAnsi="Cambria Math" w:eastAsia="×–¾’©‘Ì"/>
                      <w:i/>
                      <w:iCs/>
                      <w:color w:val="000000" w:themeColor="text1"/>
                      <w14:textFill>
                        <w14:solidFill>
                          <w14:schemeClr w14:val="tx1"/>
                        </w14:solidFill>
                      </w14:textFill>
                    </w:rPr>
                  </m:ctrlPr>
                </m:dPr>
                <m:e>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frame,l</m:t>
                      </m:r>
                      <m:ctrlPr>
                        <w:rPr>
                          <w:rFonts w:ascii="Cambria Math" w:hAnsi="Cambria Math" w:eastAsia="×–¾’©‘Ì"/>
                          <w:i/>
                          <w:iCs/>
                          <w:color w:val="000000" w:themeColor="text1"/>
                          <w14:textFill>
                            <w14:solidFill>
                              <w14:schemeClr w14:val="tx1"/>
                            </w14:solidFill>
                          </w14:textFill>
                        </w:rPr>
                      </m:ctrlPr>
                    </m:sub>
                  </m:sSub>
                  <m:r>
                    <m:rPr/>
                    <w:rPr>
                      <w:rFonts w:ascii="Cambria Math" w:hAnsi="Cambria Math" w:eastAsia="×–¾’©‘Ì"/>
                      <w:color w:val="000000" w:themeColor="text1"/>
                      <w14:textFill>
                        <w14:solidFill>
                          <w14:schemeClr w14:val="tx1"/>
                        </w14:solidFill>
                      </w14:textFill>
                    </w:rPr>
                    <m:t>,</m:t>
                  </m:r>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frame,h</m:t>
                      </m:r>
                      <m:ctrlPr>
                        <w:rPr>
                          <w:rFonts w:ascii="Cambria Math" w:hAnsi="Cambria Math" w:eastAsia="×–¾’©‘Ì"/>
                          <w:i/>
                          <w:iCs/>
                          <w:color w:val="000000" w:themeColor="text1"/>
                          <w14:textFill>
                            <w14:solidFill>
                              <w14:schemeClr w14:val="tx1"/>
                            </w14:solidFill>
                          </w14:textFill>
                        </w:rPr>
                      </m:ctrlPr>
                    </m:sub>
                  </m:sSub>
                  <m:ctrlPr>
                    <w:rPr>
                      <w:rFonts w:ascii="Cambria Math" w:hAnsi="Cambria Math" w:eastAsia="×–¾’©‘Ì"/>
                      <w:i/>
                      <w:iCs/>
                      <w:color w:val="000000" w:themeColor="text1"/>
                      <w14:textFill>
                        <w14:solidFill>
                          <w14:schemeClr w14:val="tx1"/>
                        </w14:solidFill>
                      </w14:textFill>
                    </w:rPr>
                  </m:ctrlPr>
                </m:e>
              </m:d>
              <m:ctrlPr>
                <w:rPr>
                  <w:rFonts w:ascii="Cambria Math" w:hAnsi="Cambria Math" w:eastAsia="×–¾’©‘Ì"/>
                  <w:i/>
                  <w:iCs/>
                  <w:color w:val="000000" w:themeColor="text1"/>
                  <w14:textFill>
                    <w14:solidFill>
                      <w14:schemeClr w14:val="tx1"/>
                    </w14:solidFill>
                  </w14:textFill>
                </w:rPr>
              </m:ctrlPr>
            </m:e>
          </m:func>
        </m:oMath>
      </m:oMathPara>
    </w:p>
    <w:p w14:paraId="51D1D20A">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14:textFill>
            <w14:solidFill>
              <w14:schemeClr w14:val="tx1"/>
            </w14:solidFill>
          </w14:textFill>
        </w:rPr>
        <w:t xml:space="preserve">In order to unite at least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dl_symbol</m:t>
            </m:r>
            <m:ctrlPr>
              <w:rPr>
                <w:rFonts w:ascii="Cambria Math" w:hAnsi="Cambria Math" w:eastAsia="Osaka"/>
                <w:i/>
                <w:iCs/>
                <w:color w:val="000000" w:themeColor="text1"/>
                <w14:textFill>
                  <w14:solidFill>
                    <w14:schemeClr w14:val="tx1"/>
                  </w14:solidFill>
                </w14:textFill>
              </w:rPr>
            </m:ctrlPr>
          </m:sub>
        </m:sSub>
      </m:oMath>
      <w:r>
        <w:rPr>
          <w:i/>
          <w:iCs/>
          <w:color w:val="000000" w:themeColor="text1"/>
          <w:lang w:eastAsia="ko-KR"/>
          <w14:textFill>
            <w14:solidFill>
              <w14:schemeClr w14:val="tx1"/>
            </w14:solidFill>
          </w14:textFill>
        </w:rPr>
        <w:t xml:space="preserve"> slots</w:t>
      </w:r>
      <w:r>
        <w:rPr>
          <w:i/>
          <w:iCs/>
          <w:color w:val="000000" w:themeColor="text1"/>
          <w14:textFill>
            <w14:solidFill>
              <w14:schemeClr w14:val="tx1"/>
            </w14:solidFill>
          </w14:textFill>
        </w:rPr>
        <w:t xml:space="preserve">, consider the minimum integer number of 10 ms measurement intervals, where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oMath>
      <w:r>
        <w:rPr>
          <w:i/>
          <w:iCs/>
          <w:color w:val="000000" w:themeColor="text1"/>
          <w:lang w:eastAsia="ko-KR"/>
          <w14:textFill>
            <w14:solidFill>
              <w14:schemeClr w14:val="tx1"/>
            </w14:solidFill>
          </w14:textFill>
        </w:rPr>
        <w:t xml:space="preserve"> is determined by</w:t>
      </w:r>
      <w:r>
        <w:rPr>
          <w:i/>
          <w:iCs/>
          <w:color w:val="000000" w:themeColor="text1"/>
          <w14:textFill>
            <w14:solidFill>
              <w14:schemeClr w14:val="tx1"/>
            </w14:solidFill>
          </w14:textFill>
        </w:rPr>
        <w:t>.</w:t>
      </w:r>
    </w:p>
    <w:p w14:paraId="1C4FD01C">
      <w:pPr>
        <w:pStyle w:val="46"/>
        <w:rPr>
          <w:rFonts w:eastAsia="×–¾’©‘Ì"/>
          <w:i/>
          <w:iCs/>
          <w:color w:val="000000" w:themeColor="text1"/>
          <w14:textFill>
            <w14:solidFill>
              <w14:schemeClr w14:val="tx1"/>
            </w14:solidFill>
          </w14:textFill>
        </w:rPr>
      </w:pPr>
      <m:oMathPara>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m:t>
          </m:r>
          <m:d>
            <m:dPr>
              <m:begChr m:val="⌈"/>
              <m:endChr m:val="⌉"/>
              <m:ctrlPr>
                <w:rPr>
                  <w:rFonts w:ascii="Cambria Math" w:hAnsi="Cambria Math"/>
                  <w:i/>
                  <w:iCs/>
                  <w:color w:val="000000" w:themeColor="text1"/>
                  <w:lang w:eastAsia="ko-KR"/>
                  <w14:textFill>
                    <w14:solidFill>
                      <w14:schemeClr w14:val="tx1"/>
                    </w14:solidFill>
                  </w14:textFill>
                </w:rPr>
              </m:ctrlPr>
            </m:dPr>
            <m:e>
              <m:f>
                <m:fPr>
                  <m:ctrlPr>
                    <w:rPr>
                      <w:rFonts w:ascii="Cambria Math" w:hAnsi="Cambria Math"/>
                      <w:i/>
                      <w:iCs/>
                      <w:color w:val="000000" w:themeColor="text1"/>
                      <w:lang w:eastAsia="ko-KR"/>
                      <w14:textFill>
                        <w14:solidFill>
                          <w14:schemeClr w14:val="tx1"/>
                        </w14:solidFill>
                      </w14:textFill>
                    </w:rPr>
                  </m:ctrlPr>
                </m:fPr>
                <m:num>
                  <m:r>
                    <m:rPr/>
                    <w:rPr>
                      <w:rFonts w:ascii="Cambria Math" w:hAnsi="Cambria Math"/>
                      <w:color w:val="000000" w:themeColor="text1"/>
                      <w:lang w:eastAsia="ko-KR"/>
                      <w14:textFill>
                        <w14:solidFill>
                          <w14:schemeClr w14:val="tx1"/>
                        </w14:solidFill>
                      </w14:textFill>
                    </w:rPr>
                    <m:t>10</m:t>
                  </m:r>
                  <m:r>
                    <m:rPr/>
                    <w:rPr>
                      <w:rFonts w:ascii="Cambria Math" w:hAnsi="Cambria Math" w:eastAsia="×–¾’©‘Ì"/>
                      <w:color w:val="000000" w:themeColor="text1"/>
                      <w:lang w:eastAsia="ko-KR"/>
                      <w14:textFill>
                        <w14:solidFill>
                          <w14:schemeClr w14:val="tx1"/>
                        </w14:solidFill>
                      </w14:textFill>
                    </w:rPr>
                    <m:t>×</m:t>
                  </m:r>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ctrlPr>
                    <w:rPr>
                      <w:rFonts w:ascii="Cambria Math" w:hAnsi="Cambria Math"/>
                      <w:i/>
                      <w:iCs/>
                      <w:color w:val="000000" w:themeColor="text1"/>
                      <w:lang w:eastAsia="ko-KR"/>
                      <w14:textFill>
                        <w14:solidFill>
                          <w14:schemeClr w14:val="tx1"/>
                        </w14:solidFill>
                      </w14:textFill>
                    </w:rPr>
                  </m:ctrlPr>
                </m:num>
                <m:den>
                  <m:r>
                    <m:rPr/>
                    <w:rPr>
                      <w:rFonts w:ascii="Cambria Math" w:hAnsi="Cambria Math"/>
                      <w:color w:val="000000" w:themeColor="text1"/>
                      <w:lang w:eastAsia="ko-KR"/>
                      <w14:textFill>
                        <w14:solidFill>
                          <w14:schemeClr w14:val="tx1"/>
                        </w14:solidFill>
                      </w14:textFill>
                    </w:rPr>
                    <m:t xml:space="preserve"> </m:t>
                  </m:r>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dl_symbols</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TDD</m:t>
                      </m:r>
                      <m:ctrlPr>
                        <w:rPr>
                          <w:rFonts w:ascii="Cambria Math" w:hAnsi="Cambria Math"/>
                          <w:i/>
                          <w:iCs/>
                          <w:color w:val="000000" w:themeColor="text1"/>
                          <w:lang w:eastAsia="ko-KR"/>
                          <w14:textFill>
                            <w14:solidFill>
                              <w14:schemeClr w14:val="tx1"/>
                            </w14:solidFill>
                          </w14:textFill>
                        </w:rPr>
                      </m:ctrlPr>
                    </m:sup>
                  </m:sSubSup>
                  <m:ctrlPr>
                    <w:rPr>
                      <w:rFonts w:ascii="Cambria Math" w:hAnsi="Cambria Math"/>
                      <w:i/>
                      <w:iCs/>
                      <w:color w:val="000000" w:themeColor="text1"/>
                      <w:lang w:eastAsia="ko-KR"/>
                      <w14:textFill>
                        <w14:solidFill>
                          <w14:schemeClr w14:val="tx1"/>
                        </w14:solidFill>
                      </w14:textFill>
                    </w:rPr>
                  </m:ctrlPr>
                </m:den>
              </m:f>
              <m:ctrlPr>
                <w:rPr>
                  <w:rFonts w:ascii="Cambria Math" w:hAnsi="Cambria Math"/>
                  <w:i/>
                  <w:iCs/>
                  <w:color w:val="000000" w:themeColor="text1"/>
                  <w:lang w:eastAsia="ko-KR"/>
                  <w14:textFill>
                    <w14:solidFill>
                      <w14:schemeClr w14:val="tx1"/>
                    </w14:solidFill>
                  </w14:textFill>
                </w:rPr>
              </m:ctrlPr>
            </m:e>
          </m:d>
        </m:oMath>
      </m:oMathPara>
    </w:p>
    <w:p w14:paraId="187A4A76">
      <w:pPr>
        <w:pStyle w:val="108"/>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 xml:space="preserve">and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=14</m:t>
        </m:r>
      </m:oMath>
      <w:r>
        <w:rPr>
          <w:i/>
          <w:iCs/>
          <w:color w:val="000000" w:themeColor="text1"/>
          <w:lang w:eastAsia="ko-KR"/>
          <w14:textFill>
            <w14:solidFill>
              <w14:schemeClr w14:val="tx1"/>
            </w14:solidFill>
          </w14:textFill>
        </w:rPr>
        <w:t xml:space="preserve"> for 15 kHz SCS,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=28</m:t>
        </m:r>
      </m:oMath>
      <w:r>
        <w:rPr>
          <w:i/>
          <w:iCs/>
          <w:color w:val="000000" w:themeColor="text1"/>
          <w:lang w:eastAsia="ko-KR"/>
          <w14:textFill>
            <w14:solidFill>
              <w14:schemeClr w14:val="tx1"/>
            </w14:solidFill>
          </w14:textFill>
        </w:rPr>
        <w:t xml:space="preserve"> for 30 kHz SCS and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=56</m:t>
        </m:r>
      </m:oMath>
      <w:r>
        <w:rPr>
          <w:i/>
          <w:iCs/>
          <w:color w:val="000000" w:themeColor="text1"/>
          <w:lang w:eastAsia="ko-KR"/>
          <w14:textFill>
            <w14:solidFill>
              <w14:schemeClr w14:val="tx1"/>
            </w14:solidFill>
          </w14:textFill>
        </w:rPr>
        <w:t xml:space="preserve"> for 60 kHz SCS normal CP.</w:t>
      </w:r>
    </w:p>
    <w:p w14:paraId="2B424858">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14:textFill>
            <w14:solidFill>
              <w14:schemeClr w14:val="tx1"/>
            </w14:solidFill>
          </w14:textFill>
        </w:rPr>
        <w:t>Unite by RMS.</w:t>
      </w:r>
    </w:p>
    <w:p w14:paraId="62EF287F">
      <w:pPr>
        <w:pStyle w:val="46"/>
        <w:rPr>
          <w:rFonts w:hAnsi="Cambria Math"/>
          <w:i w:val="0"/>
          <w:iCs/>
          <w:color w:val="000000" w:themeColor="text1"/>
          <w:lang w:eastAsia="ko-KR"/>
          <w14:textFill>
            <w14:solidFill>
              <w14:schemeClr w14:val="tx1"/>
            </w14:solidFill>
          </w14:textFill>
        </w:rPr>
      </w:pPr>
      <m:oMathPara>
        <m:oMath>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r>
            <m:rPr/>
            <w:rPr>
              <w:rFonts w:ascii="Cambria Math" w:hAnsi="Cambria Math" w:eastAsia="×–¾’©‘Ì"/>
              <w:color w:val="000000" w:themeColor="text1"/>
              <w14:textFill>
                <w14:solidFill>
                  <w14:schemeClr w14:val="tx1"/>
                </w14:solidFill>
              </w14:textFill>
            </w:rPr>
            <m:t>=</m:t>
          </m:r>
          <m:rad>
            <m:radPr>
              <m:degHide m:val="1"/>
              <m:ctrlPr>
                <w:rPr>
                  <w:rFonts w:ascii="Cambria Math" w:hAnsi="Cambria Math"/>
                  <w:i/>
                  <w:iCs/>
                  <w:color w:val="000000" w:themeColor="text1"/>
                  <w:lang w:eastAsia="ko-KR"/>
                  <w14:textFill>
                    <w14:solidFill>
                      <w14:schemeClr w14:val="tx1"/>
                    </w14:solidFill>
                  </w14:textFill>
                </w:rPr>
              </m:ctrlPr>
            </m:radPr>
            <m:deg>
              <m:ctrlPr>
                <w:rPr>
                  <w:rFonts w:ascii="Cambria Math" w:hAnsi="Cambria Math"/>
                  <w:i/>
                  <w:iCs/>
                  <w:color w:val="000000" w:themeColor="text1"/>
                  <w:lang w:eastAsia="ko-KR"/>
                  <w14:textFill>
                    <w14:solidFill>
                      <w14:schemeClr w14:val="tx1"/>
                    </w14:solidFill>
                  </w14:textFill>
                </w:rPr>
              </m:ctrlPr>
            </m:deg>
            <m:e>
              <m:f>
                <m:fPr>
                  <m:ctrlPr>
                    <w:rPr>
                      <w:rFonts w:ascii="Cambria Math" w:hAnsi="Cambria Math"/>
                      <w:i/>
                      <w:iCs/>
                      <w:color w:val="000000" w:themeColor="text1"/>
                      <w:lang w:eastAsia="ko-KR"/>
                      <w14:textFill>
                        <w14:solidFill>
                          <w14:schemeClr w14:val="tx1"/>
                        </w14:solidFill>
                      </w14:textFill>
                    </w:rPr>
                  </m:ctrlPr>
                </m:fPr>
                <m:num>
                  <m:r>
                    <m:rPr/>
                    <w:rPr>
                      <w:rFonts w:ascii="Cambria Math" w:hAnsi="Cambria Math"/>
                      <w:color w:val="000000" w:themeColor="text1"/>
                      <w:lang w:eastAsia="ko-KR"/>
                      <w14:textFill>
                        <w14:solidFill>
                          <w14:schemeClr w14:val="tx1"/>
                        </w14:solidFill>
                      </w14:textFill>
                    </w:rPr>
                    <m:t>1</m:t>
                  </m:r>
                  <m:ctrlPr>
                    <w:rPr>
                      <w:rFonts w:ascii="Cambria Math" w:hAnsi="Cambria Math"/>
                      <w:i/>
                      <w:iCs/>
                      <w:color w:val="000000" w:themeColor="text1"/>
                      <w:lang w:eastAsia="ko-KR"/>
                      <w14:textFill>
                        <w14:solidFill>
                          <w14:schemeClr w14:val="tx1"/>
                        </w14:solidFill>
                      </w14:textFill>
                    </w:rPr>
                  </m:ctrlPr>
                </m:num>
                <m:den>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ctrlPr>
                    <w:rPr>
                      <w:rFonts w:ascii="Cambria Math" w:hAnsi="Cambria Math"/>
                      <w:i/>
                      <w:iCs/>
                      <w:color w:val="000000" w:themeColor="text1"/>
                      <w:lang w:eastAsia="ko-KR"/>
                      <w14:textFill>
                        <w14:solidFill>
                          <w14:schemeClr w14:val="tx1"/>
                        </w14:solidFill>
                      </w14:textFill>
                    </w:rPr>
                  </m:ctrlPr>
                </m:den>
              </m:f>
              <m:nary>
                <m:naryPr>
                  <m:chr m:val="∑"/>
                  <m:limLoc m:val="undOvr"/>
                  <m:ctrlPr>
                    <w:rPr>
                      <w:rFonts w:ascii="Cambria Math" w:hAnsi="Cambria Math"/>
                      <w:i/>
                      <w:iCs/>
                      <w:color w:val="000000" w:themeColor="text1"/>
                      <w:lang w:eastAsia="ko-KR"/>
                      <w14:textFill>
                        <w14:solidFill>
                          <w14:schemeClr w14:val="tx1"/>
                        </w14:solidFill>
                      </w14:textFill>
                    </w:rPr>
                  </m:ctrlPr>
                </m:naryPr>
                <m:sub>
                  <m:r>
                    <m:rPr/>
                    <w:rPr>
                      <w:rFonts w:ascii="Cambria Math" w:hAnsi="Cambria Math"/>
                      <w:color w:val="000000" w:themeColor="text1"/>
                      <w:lang w:eastAsia="ko-KR"/>
                      <w14:textFill>
                        <w14:solidFill>
                          <w14:schemeClr w14:val="tx1"/>
                        </w14:solidFill>
                      </w14:textFill>
                    </w:rPr>
                    <m:t>k=1</m:t>
                  </m:r>
                  <m:ctrlPr>
                    <w:rPr>
                      <w:rFonts w:ascii="Cambria Math" w:hAnsi="Cambria Math"/>
                      <w:i/>
                      <w:iCs/>
                      <w:color w:val="000000" w:themeColor="text1"/>
                      <w:lang w:eastAsia="ko-KR"/>
                      <w14:textFill>
                        <w14:solidFill>
                          <w14:schemeClr w14:val="tx1"/>
                        </w14:solidFill>
                      </w14:textFill>
                    </w:rPr>
                  </m:ctrlPr>
                </m:sub>
                <m:sup>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ctrlPr>
                    <w:rPr>
                      <w:rFonts w:ascii="Cambria Math" w:hAnsi="Cambria Math"/>
                      <w:i/>
                      <w:iCs/>
                      <w:color w:val="000000" w:themeColor="text1"/>
                      <w:lang w:eastAsia="ko-KR"/>
                      <w14:textFill>
                        <w14:solidFill>
                          <w14:schemeClr w14:val="tx1"/>
                        </w14:solidFill>
                      </w14:textFill>
                    </w:rPr>
                  </m:ctrlPr>
                </m:sup>
                <m:e>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EVM</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frame,k</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2</m:t>
                      </m:r>
                      <m:ctrlPr>
                        <w:rPr>
                          <w:rFonts w:ascii="Cambria Math" w:hAnsi="Cambria Math"/>
                          <w:i/>
                          <w:iCs/>
                          <w:color w:val="000000" w:themeColor="text1"/>
                          <w:lang w:eastAsia="ko-KR"/>
                          <w14:textFill>
                            <w14:solidFill>
                              <w14:schemeClr w14:val="tx1"/>
                            </w14:solidFill>
                          </w14:textFill>
                        </w:rPr>
                      </m:ctrlPr>
                    </m:sup>
                  </m:sSubSup>
                  <m:ctrlPr>
                    <w:rPr>
                      <w:rFonts w:ascii="Cambria Math" w:hAnsi="Cambria Math"/>
                      <w:i/>
                      <w:iCs/>
                      <w:color w:val="000000" w:themeColor="text1"/>
                      <w:lang w:eastAsia="ko-KR"/>
                      <w14:textFill>
                        <w14:solidFill>
                          <w14:schemeClr w14:val="tx1"/>
                        </w14:solidFill>
                      </w14:textFill>
                    </w:rPr>
                  </m:ctrlPr>
                </m:e>
              </m:nary>
              <m:ctrlPr>
                <w:rPr>
                  <w:rFonts w:ascii="Cambria Math" w:hAnsi="Cambria Math"/>
                  <w:i/>
                  <w:iCs/>
                  <w:color w:val="000000" w:themeColor="text1"/>
                  <w:lang w:eastAsia="ko-KR"/>
                  <w14:textFill>
                    <w14:solidFill>
                      <w14:schemeClr w14:val="tx1"/>
                    </w14:solidFill>
                  </w14:textFill>
                </w:rPr>
              </m:ctrlPr>
            </m:e>
          </m:rad>
        </m:oMath>
      </m:oMathPara>
    </w:p>
    <w:p w14:paraId="262B98D0">
      <w:pPr>
        <w:pStyle w:val="37"/>
        <w:spacing w:after="120"/>
        <w:ind w:firstLine="0" w:firstLineChars="0"/>
        <w:rPr>
          <w:sz w:val="20"/>
          <w:szCs w:val="20"/>
        </w:rPr>
      </w:pPr>
      <w:r>
        <w:rPr>
          <w:rFonts w:hint="eastAsia"/>
          <w:b/>
          <w:bCs/>
          <w:sz w:val="20"/>
          <w:szCs w:val="20"/>
        </w:rPr>
        <w:t xml:space="preserve">Proposal </w:t>
      </w:r>
      <w:r>
        <w:rPr>
          <w:rFonts w:hint="eastAsia"/>
          <w:b/>
          <w:bCs/>
          <w:sz w:val="20"/>
          <w:szCs w:val="20"/>
          <w:lang w:val="en-US" w:eastAsia="zh-CN"/>
        </w:rPr>
        <w:t>3</w:t>
      </w:r>
      <w:r>
        <w:rPr>
          <w:rFonts w:hint="eastAsia"/>
          <w:sz w:val="20"/>
          <w:szCs w:val="20"/>
        </w:rPr>
        <w:t>:</w:t>
      </w:r>
      <w:r>
        <w:rPr>
          <w:rFonts w:hint="eastAsia"/>
          <w:sz w:val="20"/>
          <w:szCs w:val="20"/>
          <w:lang w:val="en-US" w:eastAsia="zh-CN"/>
        </w:rPr>
        <w:t xml:space="preserve"> propose to update the EVM calculation in Annex B.7 as above. </w:t>
      </w:r>
      <w:r>
        <w:rPr>
          <w:rFonts w:hint="eastAsia"/>
          <w:sz w:val="20"/>
          <w:szCs w:val="20"/>
        </w:rPr>
        <w:t xml:space="preserve">  </w:t>
      </w:r>
    </w:p>
    <w:p w14:paraId="6CC12DA0">
      <w:pPr>
        <w:pStyle w:val="58"/>
        <w:tabs>
          <w:tab w:val="left" w:pos="567"/>
          <w:tab w:val="clear" w:pos="1985"/>
        </w:tabs>
        <w:adjustRightInd w:val="0"/>
        <w:ind w:left="510" w:hanging="510"/>
      </w:pPr>
      <w:r>
        <w:t>Conclusions</w:t>
      </w:r>
    </w:p>
    <w:p w14:paraId="6180FE1F">
      <w:pPr>
        <w:spacing w:after="0" w:line="260" w:lineRule="auto"/>
        <w:jc w:val="left"/>
        <w:rPr>
          <w:sz w:val="20"/>
          <w:szCs w:val="20"/>
        </w:rPr>
      </w:pPr>
      <w:r>
        <w:rPr>
          <w:rFonts w:hint="eastAsia" w:eastAsiaTheme="minorEastAsia"/>
        </w:rPr>
        <w:t xml:space="preserve">In this contribution, </w:t>
      </w:r>
      <w:r>
        <w:rPr>
          <w:rFonts w:hint="eastAsia"/>
        </w:rPr>
        <w:t>we want to share some initial views on RF requirements for SBFD BS</w:t>
      </w:r>
      <w:r>
        <w:rPr>
          <w:rFonts w:hint="eastAsia"/>
          <w:sz w:val="20"/>
          <w:szCs w:val="20"/>
        </w:rPr>
        <w:t xml:space="preserve"> and proposals/observations are made as following:</w:t>
      </w:r>
    </w:p>
    <w:p w14:paraId="636E85AC">
      <w:pPr>
        <w:pStyle w:val="37"/>
        <w:spacing w:after="0" w:line="260" w:lineRule="auto"/>
        <w:ind w:firstLine="0" w:firstLineChars="0"/>
        <w:rPr>
          <w:sz w:val="20"/>
          <w:szCs w:val="20"/>
        </w:rPr>
      </w:pPr>
      <w:r>
        <w:rPr>
          <w:rFonts w:hint="eastAsia"/>
          <w:b/>
          <w:bCs/>
          <w:sz w:val="20"/>
          <w:szCs w:val="20"/>
        </w:rPr>
        <w:t>Proposal 1</w:t>
      </w:r>
      <w:r>
        <w:rPr>
          <w:rFonts w:hint="eastAsia"/>
          <w:sz w:val="20"/>
          <w:szCs w:val="20"/>
        </w:rPr>
        <w:t xml:space="preserve">: propose to follow the legacy ACLR requirement for SBFD capable BS without defining any more tightening requirement for SBFD BS. </w:t>
      </w:r>
    </w:p>
    <w:p w14:paraId="0F4EF41B">
      <w:pPr>
        <w:pStyle w:val="37"/>
        <w:spacing w:after="0" w:line="260" w:lineRule="auto"/>
        <w:ind w:firstLine="0" w:firstLineChars="0"/>
        <w:rPr>
          <w:rFonts w:hint="eastAsia"/>
          <w:sz w:val="20"/>
          <w:szCs w:val="20"/>
        </w:rPr>
      </w:pPr>
      <w:r>
        <w:rPr>
          <w:rFonts w:hint="eastAsia"/>
          <w:b/>
          <w:bCs/>
          <w:sz w:val="20"/>
          <w:szCs w:val="20"/>
        </w:rPr>
        <w:t>Proposal 2</w:t>
      </w:r>
      <w:r>
        <w:rPr>
          <w:rFonts w:hint="eastAsia"/>
          <w:sz w:val="20"/>
          <w:szCs w:val="20"/>
        </w:rPr>
        <w:t xml:space="preserve">: propose to follow the legacy OBUE requirement for SBFD capable BS without defining any more tightening requirement for SBFD BS to address the CLI concern in the adjacent channel. </w:t>
      </w:r>
    </w:p>
    <w:p w14:paraId="38E70520">
      <w:pPr>
        <w:pStyle w:val="37"/>
        <w:spacing w:after="0" w:line="260" w:lineRule="auto"/>
        <w:ind w:firstLine="0" w:firstLineChars="0"/>
        <w:rPr>
          <w:rFonts w:hint="eastAsia"/>
          <w:sz w:val="20"/>
          <w:szCs w:val="20"/>
        </w:rPr>
      </w:pPr>
      <w:r>
        <w:rPr>
          <w:rFonts w:hint="eastAsia"/>
          <w:b/>
          <w:bCs/>
          <w:sz w:val="20"/>
          <w:szCs w:val="20"/>
        </w:rPr>
        <w:t xml:space="preserve">Proposal </w:t>
      </w:r>
      <w:r>
        <w:rPr>
          <w:rFonts w:hint="eastAsia"/>
          <w:b/>
          <w:bCs/>
          <w:sz w:val="20"/>
          <w:szCs w:val="20"/>
          <w:lang w:val="en-US" w:eastAsia="zh-CN"/>
        </w:rPr>
        <w:t>3</w:t>
      </w:r>
      <w:r>
        <w:rPr>
          <w:rFonts w:hint="eastAsia"/>
          <w:sz w:val="20"/>
          <w:szCs w:val="20"/>
        </w:rPr>
        <w:t xml:space="preserve">: </w:t>
      </w:r>
      <w:r>
        <w:rPr>
          <w:rFonts w:hint="eastAsia"/>
          <w:sz w:val="20"/>
          <w:szCs w:val="20"/>
          <w:lang w:val="en-US" w:eastAsia="zh-CN"/>
        </w:rPr>
        <w:t xml:space="preserve">propose to update the EVM calculation in Annex B.7 as above. </w:t>
      </w:r>
      <w:r>
        <w:rPr>
          <w:rFonts w:hint="eastAsia"/>
          <w:sz w:val="20"/>
          <w:szCs w:val="20"/>
        </w:rPr>
        <w:t xml:space="preserve"> </w:t>
      </w:r>
    </w:p>
    <w:p w14:paraId="54ACC103">
      <w:pPr>
        <w:overflowPunct w:val="0"/>
        <w:autoSpaceDE w:val="0"/>
        <w:autoSpaceDN w:val="0"/>
        <w:adjustRightInd w:val="0"/>
        <w:textAlignment w:val="baseline"/>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 xml:space="preserve">EVM is averaged over all allocated downlink resource blocks with the considered modulation scheme in the frequency domain, and a minimum of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m:t>
            </m:r>
            <m:r>
              <m:rPr/>
              <w:rPr>
                <w:rFonts w:ascii="Cambria Math" w:hAnsi="Cambria Math" w:eastAsiaTheme="minorEastAsia"/>
                <w:color w:val="000000" w:themeColor="text1"/>
                <w14:textFill>
                  <w14:solidFill>
                    <w14:schemeClr w14:val="tx1"/>
                  </w14:solidFill>
                </w14:textFill>
              </w:rPr>
              <m:t>_symbol</m:t>
            </m:r>
            <m:ctrlPr>
              <w:rPr>
                <w:rFonts w:ascii="Cambria Math" w:hAnsi="Cambria Math" w:eastAsia="Osaka"/>
                <w:i/>
                <w:iCs/>
                <w:color w:val="000000" w:themeColor="text1"/>
                <w14:textFill>
                  <w14:solidFill>
                    <w14:schemeClr w14:val="tx1"/>
                  </w14:solidFill>
                </w14:textFill>
              </w:rPr>
            </m:ctrlPr>
          </m:sub>
        </m:sSub>
      </m:oMath>
      <w:r>
        <w:rPr>
          <w:rFonts w:eastAsia="Osaka"/>
          <w:i/>
          <w:iCs/>
          <w:color w:val="000000" w:themeColor="text1"/>
          <w14:textFill>
            <w14:solidFill>
              <w14:schemeClr w14:val="tx1"/>
            </w14:solidFill>
          </w14:textFill>
        </w:rPr>
        <w:t xml:space="preserve"> symbols where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m:t>
            </m:r>
            <m:r>
              <m:rPr/>
              <w:rPr>
                <w:rFonts w:ascii="Cambria Math" w:hAnsi="Cambria Math" w:eastAsiaTheme="minorEastAsia"/>
                <w:color w:val="000000" w:themeColor="text1"/>
                <w14:textFill>
                  <w14:solidFill>
                    <w14:schemeClr w14:val="tx1"/>
                  </w14:solidFill>
                </w14:textFill>
              </w:rPr>
              <m:t>_symbol</m:t>
            </m:r>
            <m:ctrlPr>
              <w:rPr>
                <w:rFonts w:ascii="Cambria Math" w:hAnsi="Cambria Math" w:eastAsia="Osaka"/>
                <w:i/>
                <w:iCs/>
                <w:color w:val="000000" w:themeColor="text1"/>
                <w14:textFill>
                  <w14:solidFill>
                    <w14:schemeClr w14:val="tx1"/>
                  </w14:solidFill>
                </w14:textFill>
              </w:rPr>
            </m:ctrlPr>
          </m:sub>
        </m:sSub>
        <m:r>
          <m:rPr/>
          <w:rPr>
            <w:rFonts w:ascii="Cambria Math" w:hAnsi="Cambria Math" w:eastAsia="Osaka"/>
            <w:color w:val="000000" w:themeColor="text1"/>
            <w14:textFill>
              <w14:solidFill>
                <w14:schemeClr w14:val="tx1"/>
              </w14:solidFill>
            </w14:textFill>
          </w:rPr>
          <m:t xml:space="preserve"> </m:t>
        </m:r>
      </m:oMath>
      <w:r>
        <w:rPr>
          <w:rFonts w:eastAsia="Osaka"/>
          <w:i/>
          <w:iCs/>
          <w:color w:val="000000" w:themeColor="text1"/>
          <w14:textFill>
            <w14:solidFill>
              <w14:schemeClr w14:val="tx1"/>
            </w14:solidFill>
          </w14:textFill>
        </w:rPr>
        <w:t xml:space="preserve"> is the number of dl symbols in a 10 ms measurement interval</w:t>
      </w:r>
      <w:r>
        <w:rPr>
          <w:i/>
          <w:iCs/>
          <w:color w:val="000000" w:themeColor="text1"/>
          <w:lang w:eastAsia="ko-KR"/>
          <w14:textFill>
            <w14:solidFill>
              <w14:schemeClr w14:val="tx1"/>
            </w14:solidFill>
          </w14:textFill>
        </w:rPr>
        <w:t>.</w:t>
      </w:r>
    </w:p>
    <w:p w14:paraId="00124664">
      <w:pPr>
        <w:overflowPunct w:val="0"/>
        <w:autoSpaceDE w:val="0"/>
        <w:autoSpaceDN w:val="0"/>
        <w:adjustRightInd w:val="0"/>
        <w:textAlignment w:val="baseline"/>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For TDD, l</w:t>
      </w:r>
      <w:r>
        <w:rPr>
          <w:i/>
          <w:iCs/>
          <w:color w:val="000000" w:themeColor="text1"/>
          <w14:textFill>
            <w14:solidFill>
              <w14:schemeClr w14:val="tx1"/>
            </w14:solidFill>
          </w14:textFill>
        </w:rPr>
        <w:t xml:space="preserve">et </w:t>
      </w:r>
      <m:oMath>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dl_symbols</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TDD</m:t>
            </m:r>
            <m:ctrlPr>
              <w:rPr>
                <w:rFonts w:ascii="Cambria Math" w:hAnsi="Cambria Math"/>
                <w:i/>
                <w:iCs/>
                <w:color w:val="000000" w:themeColor="text1"/>
                <w:lang w:eastAsia="ko-KR"/>
                <w14:textFill>
                  <w14:solidFill>
                    <w14:schemeClr w14:val="tx1"/>
                  </w14:solidFill>
                </w14:textFill>
              </w:rPr>
            </m:ctrlPr>
          </m:sup>
        </m:sSubSup>
      </m:oMath>
      <w:r>
        <w:rPr>
          <w:i/>
          <w:iCs/>
          <w:color w:val="000000" w:themeColor="text1"/>
          <w:lang w:eastAsia="ko-KR"/>
          <w14:textFill>
            <w14:solidFill>
              <w14:schemeClr w14:val="tx1"/>
            </w14:solidFill>
          </w14:textFill>
        </w:rPr>
        <w:t xml:space="preserve"> be the number of </w:t>
      </w:r>
      <w:r>
        <w:rPr>
          <w:i/>
          <w:iCs/>
          <w:color w:val="000000" w:themeColor="text1"/>
          <w14:textFill>
            <w14:solidFill>
              <w14:schemeClr w14:val="tx1"/>
            </w14:solidFill>
          </w14:textFill>
        </w:rPr>
        <w:t xml:space="preserve">downlink SBFD symbols or non-SBFD symbols </w:t>
      </w:r>
      <w:r>
        <w:rPr>
          <w:i/>
          <w:iCs/>
          <w:color w:val="000000" w:themeColor="text1"/>
          <w:lang w:eastAsia="ko-KR"/>
          <w14:textFill>
            <w14:solidFill>
              <w14:schemeClr w14:val="tx1"/>
            </w14:solidFill>
          </w14:textFill>
        </w:rPr>
        <w:t xml:space="preserve">within a 10 ms measurement interval, the averaging in the time domain can be calculated from </w:t>
      </w:r>
      <m:oMath>
        <m:r>
          <m:rPr/>
          <w:rPr>
            <w:rFonts w:ascii="Cambria Math" w:hAnsi="Cambria Math"/>
            <w:color w:val="000000" w:themeColor="text1"/>
            <w:lang w:eastAsia="ko-KR"/>
            <w14:textFill>
              <w14:solidFill>
                <w14:schemeClr w14:val="tx1"/>
              </w14:solidFill>
            </w14:textFill>
          </w:rPr>
          <m:t xml:space="preserve"> </m:t>
        </m:r>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dl_symbols</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TDD</m:t>
            </m:r>
            <m:ctrlPr>
              <w:rPr>
                <w:rFonts w:ascii="Cambria Math" w:hAnsi="Cambria Math"/>
                <w:i/>
                <w:iCs/>
                <w:color w:val="000000" w:themeColor="text1"/>
                <w:lang w:eastAsia="ko-KR"/>
                <w14:textFill>
                  <w14:solidFill>
                    <w14:schemeClr w14:val="tx1"/>
                  </w14:solidFill>
                </w14:textFill>
              </w:rPr>
            </m:ctrlPr>
          </m:sup>
        </m:sSubSup>
      </m:oMath>
      <w:r>
        <w:rPr>
          <w:i/>
          <w:iCs/>
          <w:color w:val="000000" w:themeColor="text1"/>
          <w14:textFill>
            <w14:solidFill>
              <w14:schemeClr w14:val="tx1"/>
            </w14:solidFill>
          </w14:textFill>
        </w:rPr>
        <w:t xml:space="preserve"> symbols </w:t>
      </w:r>
      <w:r>
        <w:rPr>
          <w:i/>
          <w:iCs/>
          <w:color w:val="000000" w:themeColor="text1"/>
          <w:lang w:eastAsia="ko-KR"/>
          <w14:textFill>
            <w14:solidFill>
              <w14:schemeClr w14:val="tx1"/>
            </w14:solidFill>
          </w14:textFill>
        </w:rPr>
        <w:t>of different 10 ms measurement intervals</w:t>
      </w:r>
      <w:r>
        <w:rPr>
          <w:i/>
          <w:iCs/>
          <w:color w:val="000000" w:themeColor="text1"/>
          <w14:textFill>
            <w14:solidFill>
              <w14:schemeClr w14:val="tx1"/>
            </w14:solidFill>
          </w14:textFill>
        </w:rPr>
        <w:t xml:space="preserve"> and should have a minimum of</w:t>
      </w:r>
      <w:r>
        <w:rPr>
          <w:i/>
          <w:iCs/>
          <w:color w:val="000000" w:themeColor="text1"/>
          <w:lang w:eastAsia="ko-KR"/>
          <w14:textFill>
            <w14:solidFill>
              <w14:schemeClr w14:val="tx1"/>
            </w14:solidFill>
          </w14:textFill>
        </w:rPr>
        <w:t xml:space="preserv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dl_symbol</m:t>
            </m:r>
            <m:ctrlPr>
              <w:rPr>
                <w:rFonts w:ascii="Cambria Math" w:hAnsi="Cambria Math" w:eastAsia="Osaka"/>
                <w:i/>
                <w:iCs/>
                <w:color w:val="000000" w:themeColor="text1"/>
                <w14:textFill>
                  <w14:solidFill>
                    <w14:schemeClr w14:val="tx1"/>
                  </w14:solidFill>
                </w14:textFill>
              </w:rPr>
            </m:ctrlPr>
          </m:sub>
        </m:sSub>
      </m:oMath>
      <w:r>
        <w:rPr>
          <w:rFonts w:eastAsia="Osaka"/>
          <w:i/>
          <w:iCs/>
          <w:color w:val="000000" w:themeColor="text1"/>
          <w14:textFill>
            <w14:solidFill>
              <w14:schemeClr w14:val="tx1"/>
            </w14:solidFill>
          </w14:textFill>
        </w:rPr>
        <w:t xml:space="preserve"> symbols averaging length where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dl_symbol</m:t>
            </m:r>
            <m:ctrlPr>
              <w:rPr>
                <w:rFonts w:ascii="Cambria Math" w:hAnsi="Cambria Math" w:eastAsia="Osaka"/>
                <w:i/>
                <w:iCs/>
                <w:color w:val="000000" w:themeColor="text1"/>
                <w14:textFill>
                  <w14:solidFill>
                    <w14:schemeClr w14:val="tx1"/>
                  </w14:solidFill>
                </w14:textFill>
              </w:rPr>
            </m:ctrlPr>
          </m:sub>
        </m:sSub>
      </m:oMath>
      <w:r>
        <w:rPr>
          <w:rFonts w:eastAsia="Osaka"/>
          <w:i/>
          <w:iCs/>
          <w:color w:val="000000" w:themeColor="text1"/>
          <w14:textFill>
            <w14:solidFill>
              <w14:schemeClr w14:val="tx1"/>
            </w14:solidFill>
          </w14:textFill>
        </w:rPr>
        <w:t xml:space="preserve"> is the number of symbols in a 10 ms measurement interval.</w:t>
      </w:r>
    </w:p>
    <w:p w14:paraId="44EC2363">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is </w:t>
      </w:r>
      <w:r>
        <w:rPr>
          <w:rFonts w:eastAsia="×–¾’©‘Ì"/>
          <w:i/>
          <w:iCs/>
          <w:color w:val="000000" w:themeColor="text1"/>
          <w14:textFill>
            <w14:solidFill>
              <w14:schemeClr w14:val="tx1"/>
            </w14:solidFill>
          </w14:textFill>
        </w:rPr>
        <w:t>derived by:</w:t>
      </w:r>
      <w:r>
        <w:rPr>
          <w:i/>
          <w:iCs/>
          <w:color w:val="000000" w:themeColor="text1"/>
          <w14:textFill>
            <w14:solidFill>
              <w14:schemeClr w14:val="tx1"/>
            </w14:solidFill>
          </w14:textFill>
        </w:rPr>
        <w:t xml:space="preserve"> Square the EVM results in each 10 ms measurement interval. Sum the squares, divide the sum by the number of EVM relevant locations, square-root the quotient (RMS).</w:t>
      </w:r>
    </w:p>
    <w:p w14:paraId="61E7FA3E">
      <w:pPr>
        <w:pStyle w:val="53"/>
        <w:rPr>
          <w:i/>
          <w:iCs/>
          <w:color w:val="000000" w:themeColor="text1"/>
          <w:lang w:val="sv-FI"/>
          <w14:textFill>
            <w14:solidFill>
              <w14:schemeClr w14:val="tx1"/>
            </w14:solidFill>
          </w14:textFill>
        </w:rPr>
      </w:pPr>
      <m:oMathPara>
        <m:oMathParaPr>
          <m:jc m:val="left"/>
        </m:oMathParaPr>
        <m:oMath>
          <m:sSub>
            <m:sSubPr>
              <m:ctrlPr>
                <w:rPr>
                  <w:rFonts w:ascii="Cambria Math" w:hAnsi="Cambria Math"/>
                  <w:i/>
                  <w:iCs/>
                  <w:color w:val="000000" w:themeColor="text1"/>
                  <w14:textFill>
                    <w14:solidFill>
                      <w14:schemeClr w14:val="tx1"/>
                    </w14:solidFill>
                  </w14:textFill>
                </w:rPr>
              </m:ctrlPr>
            </m:sSubPr>
            <m:e>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EVM</m:t>
                  </m:r>
                  <m:ctrlPr>
                    <w:rPr>
                      <w:rFonts w:ascii="Cambria Math" w:hAnsi="Cambria Math"/>
                      <w:i/>
                      <w:iCs/>
                      <w:color w:val="000000" w:themeColor="text1"/>
                      <w14:textFill>
                        <w14:solidFill>
                          <w14:schemeClr w14:val="tx1"/>
                        </w14:solidFill>
                      </w14:textFill>
                    </w:rPr>
                  </m:ctrlPr>
                </m:e>
              </m:acc>
              <m:ctrlPr>
                <w:rPr>
                  <w:rFonts w:ascii="Cambria Math" w:hAnsi="Cambria Math"/>
                  <w:i/>
                  <w:iCs/>
                  <w:color w:val="000000" w:themeColor="text1"/>
                  <w14:textFill>
                    <w14:solidFill>
                      <w14:schemeClr w14:val="tx1"/>
                    </w14:solidFill>
                  </w14:textFill>
                </w:rPr>
              </m:ctrlPr>
            </m:e>
            <m:sub>
              <m:r>
                <m:rPr>
                  <m:nor/>
                </m:rPr>
                <w:rPr>
                  <w:i/>
                  <w:iCs/>
                  <w:color w:val="000000" w:themeColor="text1"/>
                  <w:lang w:val="sv-FI"/>
                  <w14:textFill>
                    <w14:solidFill>
                      <w14:schemeClr w14:val="tx1"/>
                    </w14:solidFill>
                  </w14:textFill>
                </w:rPr>
                <m:t>frame</m:t>
              </m:r>
              <m:ctrlPr>
                <w:rPr>
                  <w:rFonts w:ascii="Cambria Math" w:hAnsi="Cambria Math"/>
                  <w:i/>
                  <w:iCs/>
                  <w:color w:val="000000" w:themeColor="text1"/>
                  <w14:textFill>
                    <w14:solidFill>
                      <w14:schemeClr w14:val="tx1"/>
                    </w14:solidFill>
                  </w14:textFill>
                </w:rPr>
              </m:ctrlPr>
            </m:sub>
          </m:sSub>
          <m:r>
            <m:rPr/>
            <w:rPr>
              <w:rFonts w:ascii="Cambria Math" w:hAnsi="Cambria Math"/>
              <w:color w:val="000000" w:themeColor="text1"/>
              <w:lang w:val="sv-FI"/>
              <w14:textFill>
                <w14:solidFill>
                  <w14:schemeClr w14:val="tx1"/>
                </w14:solidFill>
              </w14:textFill>
            </w:rPr>
            <m:t>=</m:t>
          </m:r>
          <m:rad>
            <m:radPr>
              <m:degHide m:val="1"/>
              <m:ctrlPr>
                <w:rPr>
                  <w:rFonts w:ascii="Cambria Math" w:hAnsi="Cambria Math"/>
                  <w:i/>
                  <w:iCs/>
                  <w:color w:val="000000" w:themeColor="text1"/>
                  <w14:textFill>
                    <w14:solidFill>
                      <w14:schemeClr w14:val="tx1"/>
                    </w14:solidFill>
                  </w14:textFill>
                </w:rPr>
              </m:ctrlPr>
            </m:radPr>
            <m:deg>
              <m:ctrlPr>
                <w:rPr>
                  <w:rFonts w:ascii="Cambria Math" w:hAnsi="Cambria Math"/>
                  <w:i/>
                  <w:iCs/>
                  <w:color w:val="000000" w:themeColor="text1"/>
                  <w14:textFill>
                    <w14:solidFill>
                      <w14:schemeClr w14:val="tx1"/>
                    </w14:solidFill>
                  </w14:textFill>
                </w:rPr>
              </m:ctrlPr>
            </m:deg>
            <m:e>
              <m:f>
                <m:fPr>
                  <m:ctrlPr>
                    <w:rPr>
                      <w:rFonts w:ascii="Cambria Math" w:hAnsi="Cambria Math"/>
                      <w:i/>
                      <w:iCs/>
                      <w:color w:val="000000" w:themeColor="text1"/>
                      <w14:textFill>
                        <w14:solidFill>
                          <w14:schemeClr w14:val="tx1"/>
                        </w14:solidFill>
                      </w14:textFill>
                    </w:rPr>
                  </m:ctrlPr>
                </m:fPr>
                <m:num>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num>
                <m:den>
                  <m:nary>
                    <m:naryPr>
                      <m:chr m:val="∑"/>
                      <m:limLoc m:val="undOvr"/>
                      <m:ctrlPr>
                        <w:rPr>
                          <w:rFonts w:ascii="Cambria Math" w:hAnsi="Cambria Math"/>
                          <w:i/>
                          <w:iCs/>
                          <w:color w:val="000000" w:themeColor="text1"/>
                          <w14:textFill>
                            <w14:solidFill>
                              <w14:schemeClr w14:val="tx1"/>
                            </w14:solidFill>
                          </w14:textFill>
                        </w:rPr>
                      </m:ctrlPr>
                    </m:naryPr>
                    <m:sub>
                      <m:r>
                        <m:rPr/>
                        <w:rPr>
                          <w:rFonts w:ascii="Cambria Math" w:hAnsi="Cambria Math"/>
                          <w:color w:val="000000" w:themeColor="text1"/>
                          <w14:textFill>
                            <w14:solidFill>
                              <w14:schemeClr w14:val="tx1"/>
                            </w14:solidFill>
                          </w14:textFill>
                        </w:rPr>
                        <m:t>i</m:t>
                      </m:r>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sub>
                    <m:sup>
                      <m:sSubSup>
                        <m:sSubSupPr>
                          <m:ctrlPr>
                            <w:rPr>
                              <w:rFonts w:ascii="Cambria Math" w:hAnsi="Cambria Math"/>
                              <w:i/>
                              <w:iCs/>
                              <w:color w:val="000000" w:themeColor="text1"/>
                              <w14:textFill>
                                <w14:solidFill>
                                  <w14:schemeClr w14:val="tx1"/>
                                </w14:solidFill>
                              </w14:textFill>
                            </w:rPr>
                          </m:ctrlPr>
                        </m:sSubSup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dl_symbol</m:t>
                          </m:r>
                          <m:ctrlPr>
                            <w:rPr>
                              <w:rFonts w:ascii="Cambria Math" w:hAnsi="Cambria Math"/>
                              <w:i/>
                              <w:iCs/>
                              <w:color w:val="000000" w:themeColor="text1"/>
                              <w14:textFill>
                                <w14:solidFill>
                                  <w14:schemeClr w14:val="tx1"/>
                                </w14:solidFill>
                              </w14:textFill>
                            </w:rPr>
                          </m:ctrlPr>
                        </m:sub>
                        <m:sup>
                          <m:r>
                            <m:rPr/>
                            <w:rPr>
                              <w:rFonts w:ascii="Cambria Math" w:hAnsi="Cambria Math"/>
                              <w:color w:val="000000" w:themeColor="text1"/>
                              <w14:textFill>
                                <w14:solidFill>
                                  <w14:schemeClr w14:val="tx1"/>
                                </w14:solidFill>
                              </w14:textFill>
                            </w:rPr>
                            <m:t>TDD</m:t>
                          </m:r>
                          <m:ctrlPr>
                            <w:rPr>
                              <w:rFonts w:ascii="Cambria Math" w:hAnsi="Cambria Math"/>
                              <w:i/>
                              <w:iCs/>
                              <w:color w:val="000000" w:themeColor="text1"/>
                              <w14:textFill>
                                <w14:solidFill>
                                  <w14:schemeClr w14:val="tx1"/>
                                </w14:solidFill>
                              </w14:textFill>
                            </w:rPr>
                          </m:ctrlPr>
                        </m:sup>
                      </m:sSubSup>
                      <m:ctrlPr>
                        <w:rPr>
                          <w:rFonts w:ascii="Cambria Math" w:hAnsi="Cambria Math"/>
                          <w:i/>
                          <w:iCs/>
                          <w:color w:val="000000" w:themeColor="text1"/>
                          <w14:textFill>
                            <w14:solidFill>
                              <w14:schemeClr w14:val="tx1"/>
                            </w14:solidFill>
                          </w14:textFill>
                        </w:rPr>
                      </m:ctrlPr>
                    </m:sup>
                    <m:e>
                      <m:sSub>
                        <m:sSubPr>
                          <m:ctrlPr>
                            <w:rPr>
                              <w:rFonts w:ascii="Cambria Math" w:hAnsi="Cambria Math"/>
                              <w:i/>
                              <w:iCs/>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i</m:t>
                          </m:r>
                          <m:ctrlPr>
                            <w:rPr>
                              <w:rFonts w:ascii="Cambria Math" w:hAnsi="Cambria Math"/>
                              <w:i/>
                              <w:iCs/>
                              <w:color w:val="000000" w:themeColor="text1"/>
                              <w14:textFill>
                                <w14:solidFill>
                                  <w14:schemeClr w14:val="tx1"/>
                                </w14:solidFill>
                              </w14:textFill>
                            </w:rPr>
                          </m:ctrlPr>
                        </m:sub>
                      </m:sSub>
                      <m:ctrlPr>
                        <w:rPr>
                          <w:rFonts w:ascii="Cambria Math" w:hAnsi="Cambria Math"/>
                          <w:i/>
                          <w:iCs/>
                          <w:color w:val="000000" w:themeColor="text1"/>
                          <w14:textFill>
                            <w14:solidFill>
                              <w14:schemeClr w14:val="tx1"/>
                            </w14:solidFill>
                          </w14:textFill>
                        </w:rPr>
                      </m:ctrlPr>
                    </m:e>
                  </m:nary>
                  <m:ctrlPr>
                    <w:rPr>
                      <w:rFonts w:ascii="Cambria Math" w:hAnsi="Cambria Math"/>
                      <w:i/>
                      <w:iCs/>
                      <w:color w:val="000000" w:themeColor="text1"/>
                      <w14:textFill>
                        <w14:solidFill>
                          <w14:schemeClr w14:val="tx1"/>
                        </w14:solidFill>
                      </w14:textFill>
                    </w:rPr>
                  </m:ctrlPr>
                </m:den>
              </m:f>
              <m:nary>
                <m:naryPr>
                  <m:chr m:val="∑"/>
                  <m:limLoc m:val="undOvr"/>
                  <m:ctrlPr>
                    <w:rPr>
                      <w:rFonts w:ascii="Cambria Math" w:hAnsi="Cambria Math"/>
                      <w:i/>
                      <w:iCs/>
                      <w:color w:val="000000" w:themeColor="text1"/>
                      <w14:textFill>
                        <w14:solidFill>
                          <w14:schemeClr w14:val="tx1"/>
                        </w14:solidFill>
                      </w14:textFill>
                    </w:rPr>
                  </m:ctrlPr>
                </m:naryPr>
                <m:sub>
                  <m:r>
                    <m:rPr/>
                    <w:rPr>
                      <w:rFonts w:ascii="Cambria Math" w:hAnsi="Cambria Math"/>
                      <w:color w:val="000000" w:themeColor="text1"/>
                      <w14:textFill>
                        <w14:solidFill>
                          <w14:schemeClr w14:val="tx1"/>
                        </w14:solidFill>
                      </w14:textFill>
                    </w:rPr>
                    <m:t>i</m:t>
                  </m:r>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sub>
                <m:sup>
                  <m:sSubSup>
                    <m:sSubSupPr>
                      <m:ctrlPr>
                        <w:rPr>
                          <w:rFonts w:ascii="Cambria Math" w:hAnsi="Cambria Math"/>
                          <w:i/>
                          <w:iCs/>
                          <w:color w:val="000000" w:themeColor="text1"/>
                          <w14:textFill>
                            <w14:solidFill>
                              <w14:schemeClr w14:val="tx1"/>
                            </w14:solidFill>
                          </w14:textFill>
                        </w:rPr>
                      </m:ctrlPr>
                    </m:sSubSup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dl_symbol</m:t>
                      </m:r>
                      <m:ctrlPr>
                        <w:rPr>
                          <w:rFonts w:ascii="Cambria Math" w:hAnsi="Cambria Math"/>
                          <w:i/>
                          <w:iCs/>
                          <w:color w:val="000000" w:themeColor="text1"/>
                          <w14:textFill>
                            <w14:solidFill>
                              <w14:schemeClr w14:val="tx1"/>
                            </w14:solidFill>
                          </w14:textFill>
                        </w:rPr>
                      </m:ctrlPr>
                    </m:sub>
                    <m:sup>
                      <m:r>
                        <m:rPr/>
                        <w:rPr>
                          <w:rFonts w:ascii="Cambria Math" w:hAnsi="Cambria Math"/>
                          <w:color w:val="000000" w:themeColor="text1"/>
                          <w14:textFill>
                            <w14:solidFill>
                              <w14:schemeClr w14:val="tx1"/>
                            </w14:solidFill>
                          </w14:textFill>
                        </w:rPr>
                        <m:t>TDD</m:t>
                      </m:r>
                      <m:ctrlPr>
                        <w:rPr>
                          <w:rFonts w:ascii="Cambria Math" w:hAnsi="Cambria Math"/>
                          <w:i/>
                          <w:iCs/>
                          <w:color w:val="000000" w:themeColor="text1"/>
                          <w14:textFill>
                            <w14:solidFill>
                              <w14:schemeClr w14:val="tx1"/>
                            </w14:solidFill>
                          </w14:textFill>
                        </w:rPr>
                      </m:ctrlPr>
                    </m:sup>
                  </m:sSubSup>
                  <m:ctrlPr>
                    <w:rPr>
                      <w:rFonts w:ascii="Cambria Math" w:hAnsi="Cambria Math"/>
                      <w:i/>
                      <w:iCs/>
                      <w:color w:val="000000" w:themeColor="text1"/>
                      <w14:textFill>
                        <w14:solidFill>
                          <w14:schemeClr w14:val="tx1"/>
                        </w14:solidFill>
                      </w14:textFill>
                    </w:rPr>
                  </m:ctrlPr>
                </m:sup>
                <m:e>
                  <m:nary>
                    <m:naryPr>
                      <m:chr m:val="∑"/>
                      <m:limLoc m:val="undOvr"/>
                      <m:ctrlPr>
                        <w:rPr>
                          <w:rFonts w:ascii="Cambria Math" w:hAnsi="Cambria Math"/>
                          <w:i/>
                          <w:iCs/>
                          <w:color w:val="000000" w:themeColor="text1"/>
                          <w14:textFill>
                            <w14:solidFill>
                              <w14:schemeClr w14:val="tx1"/>
                            </w14:solidFill>
                          </w14:textFill>
                        </w:rPr>
                      </m:ctrlPr>
                    </m:naryPr>
                    <m:sub>
                      <m:r>
                        <m:rPr/>
                        <w:rPr>
                          <w:rFonts w:ascii="Cambria Math" w:hAnsi="Cambria Math"/>
                          <w:color w:val="000000" w:themeColor="text1"/>
                          <w14:textFill>
                            <w14:solidFill>
                              <w14:schemeClr w14:val="tx1"/>
                            </w14:solidFill>
                          </w14:textFill>
                        </w:rPr>
                        <m:t>j</m:t>
                      </m:r>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sub>
                    <m:sup>
                      <m:sSub>
                        <m:sSubPr>
                          <m:ctrlPr>
                            <w:rPr>
                              <w:rFonts w:ascii="Cambria Math" w:hAnsi="Cambria Math"/>
                              <w:i/>
                              <w:iCs/>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i</m:t>
                          </m:r>
                          <m:ctrlPr>
                            <w:rPr>
                              <w:rFonts w:ascii="Cambria Math" w:hAnsi="Cambria Math"/>
                              <w:i/>
                              <w:iCs/>
                              <w:color w:val="000000" w:themeColor="text1"/>
                              <w14:textFill>
                                <w14:solidFill>
                                  <w14:schemeClr w14:val="tx1"/>
                                </w14:solidFill>
                              </w14:textFill>
                            </w:rPr>
                          </m:ctrlPr>
                        </m:sub>
                      </m:sSub>
                      <m:ctrlPr>
                        <w:rPr>
                          <w:rFonts w:ascii="Cambria Math" w:hAnsi="Cambria Math"/>
                          <w:i/>
                          <w:iCs/>
                          <w:color w:val="000000" w:themeColor="text1"/>
                          <w14:textFill>
                            <w14:solidFill>
                              <w14:schemeClr w14:val="tx1"/>
                            </w14:solidFill>
                          </w14:textFill>
                        </w:rPr>
                      </m:ctrlPr>
                    </m:sup>
                    <m:e>
                      <m:sSubSup>
                        <m:sSubSupPr>
                          <m:ctrlPr>
                            <w:rPr>
                              <w:rFonts w:ascii="Cambria Math" w:hAnsi="Cambria Math"/>
                              <w:i/>
                              <w:iCs/>
                              <w:color w:val="000000" w:themeColor="text1"/>
                              <w14:textFill>
                                <w14:solidFill>
                                  <w14:schemeClr w14:val="tx1"/>
                                </w14:solidFill>
                              </w14:textFill>
                            </w:rPr>
                          </m:ctrlPr>
                        </m:sSubSupPr>
                        <m:e>
                          <m:r>
                            <m:rPr/>
                            <w:rPr>
                              <w:rFonts w:ascii="Cambria Math" w:hAnsi="Cambria Math"/>
                              <w:color w:val="000000" w:themeColor="text1"/>
                              <w14:textFill>
                                <w14:solidFill>
                                  <w14:schemeClr w14:val="tx1"/>
                                </w14:solidFill>
                              </w14:textFill>
                            </w:rPr>
                            <m:t>EVM</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i</m:t>
                          </m:r>
                          <m:r>
                            <m:rPr/>
                            <w:rPr>
                              <w:rFonts w:ascii="Cambria Math" w:hAnsi="Cambria Math"/>
                              <w:color w:val="000000" w:themeColor="text1"/>
                              <w:lang w:val="sv-FI"/>
                              <w14:textFill>
                                <w14:solidFill>
                                  <w14:schemeClr w14:val="tx1"/>
                                </w14:solidFill>
                              </w14:textFill>
                            </w:rPr>
                            <m:t>,</m:t>
                          </m:r>
                          <m:r>
                            <m:rPr/>
                            <w:rPr>
                              <w:rFonts w:ascii="Cambria Math" w:hAnsi="Cambria Math"/>
                              <w:color w:val="000000" w:themeColor="text1"/>
                              <w14:textFill>
                                <w14:solidFill>
                                  <w14:schemeClr w14:val="tx1"/>
                                </w14:solidFill>
                              </w14:textFill>
                            </w:rPr>
                            <m:t>j</m:t>
                          </m:r>
                          <m:ctrlPr>
                            <w:rPr>
                              <w:rFonts w:ascii="Cambria Math" w:hAnsi="Cambria Math"/>
                              <w:i/>
                              <w:iCs/>
                              <w:color w:val="000000" w:themeColor="text1"/>
                              <w14:textFill>
                                <w14:solidFill>
                                  <w14:schemeClr w14:val="tx1"/>
                                </w14:solidFill>
                              </w14:textFill>
                            </w:rPr>
                          </m:ctrlPr>
                        </m:sub>
                        <m:sup>
                          <m:r>
                            <m:rPr/>
                            <w:rPr>
                              <w:rFonts w:ascii="Cambria Math" w:hAnsi="Cambria Math"/>
                              <w:color w:val="000000" w:themeColor="text1"/>
                              <w:lang w:val="sv-FI"/>
                              <w14:textFill>
                                <w14:solidFill>
                                  <w14:schemeClr w14:val="tx1"/>
                                </w14:solidFill>
                              </w14:textFill>
                            </w:rPr>
                            <m:t>2</m:t>
                          </m:r>
                          <m:ctrlPr>
                            <w:rPr>
                              <w:rFonts w:ascii="Cambria Math" w:hAnsi="Cambria Math"/>
                              <w:i/>
                              <w:iCs/>
                              <w:color w:val="000000" w:themeColor="text1"/>
                              <w14:textFill>
                                <w14:solidFill>
                                  <w14:schemeClr w14:val="tx1"/>
                                </w14:solidFill>
                              </w14:textFill>
                            </w:rPr>
                          </m:ctrlPr>
                        </m:sup>
                      </m:sSubSup>
                      <m:ctrlPr>
                        <w:rPr>
                          <w:rFonts w:ascii="Cambria Math" w:hAnsi="Cambria Math"/>
                          <w:i/>
                          <w:iCs/>
                          <w:color w:val="000000" w:themeColor="text1"/>
                          <w14:textFill>
                            <w14:solidFill>
                              <w14:schemeClr w14:val="tx1"/>
                            </w14:solidFill>
                          </w14:textFill>
                        </w:rPr>
                      </m:ctrlPr>
                    </m:e>
                  </m:nary>
                  <m:ctrlPr>
                    <w:rPr>
                      <w:rFonts w:ascii="Cambria Math" w:hAnsi="Cambria Math"/>
                      <w:i/>
                      <w:iCs/>
                      <w:color w:val="000000" w:themeColor="text1"/>
                      <w14:textFill>
                        <w14:solidFill>
                          <w14:schemeClr w14:val="tx1"/>
                        </w14:solidFill>
                      </w14:textFill>
                    </w:rPr>
                  </m:ctrlPr>
                </m:e>
              </m:nary>
              <m:ctrlPr>
                <w:rPr>
                  <w:rFonts w:ascii="Cambria Math" w:hAnsi="Cambria Math"/>
                  <w:i/>
                  <w:iCs/>
                  <w:color w:val="000000" w:themeColor="text1"/>
                  <w14:textFill>
                    <w14:solidFill>
                      <w14:schemeClr w14:val="tx1"/>
                    </w14:solidFill>
                  </w14:textFill>
                </w:rPr>
              </m:ctrlPr>
            </m:e>
          </m:rad>
        </m:oMath>
      </m:oMathPara>
    </w:p>
    <w:p w14:paraId="43527CA0">
      <w:pPr>
        <w:pStyle w:val="53"/>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lang w:eastAsia="ko-KR"/>
          <w14:textFill>
            <w14:solidFill>
              <w14:schemeClr w14:val="tx1"/>
            </w14:solidFill>
          </w14:textFill>
        </w:rPr>
        <w:t xml:space="preserve">Where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i</m:t>
            </m:r>
            <m:ctrlPr>
              <w:rPr>
                <w:rFonts w:ascii="Cambria Math" w:hAnsi="Cambria Math" w:eastAsia="Osaka"/>
                <w:i/>
                <w:iCs/>
                <w:color w:val="000000" w:themeColor="text1"/>
                <w14:textFill>
                  <w14:solidFill>
                    <w14:schemeClr w14:val="tx1"/>
                  </w14:solidFill>
                </w14:textFill>
              </w:rPr>
            </m:ctrlPr>
          </m:sub>
        </m:sSub>
      </m:oMath>
      <w:r>
        <w:rPr>
          <w:i/>
          <w:iCs/>
          <w:color w:val="000000" w:themeColor="text1"/>
          <w:lang w:eastAsia="ko-KR"/>
          <w14:textFill>
            <w14:solidFill>
              <w14:schemeClr w14:val="tx1"/>
            </w14:solidFill>
          </w14:textFill>
        </w:rPr>
        <w:t xml:space="preserve"> is the number of resource blocks with the considered modulation scheme in symbol i.</w:t>
      </w:r>
    </w:p>
    <w:p w14:paraId="353CFE03">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14:textFill>
            <w14:solidFill>
              <w14:schemeClr w14:val="tx1"/>
            </w14:solidFill>
          </w14:textFill>
        </w:rPr>
        <w:t xml:space="preserve">The </w:t>
      </w:r>
      <m:oMath>
        <m:sSub>
          <m:sSubPr>
            <m:ctrlPr>
              <w:rPr>
                <w:rFonts w:ascii="Cambria Math" w:hAnsi="Cambria Math" w:eastAsia="×–¾’©‘Ì"/>
                <w:i/>
                <w:iCs/>
                <w:color w:val="000000" w:themeColor="text1"/>
                <w14:textFill>
                  <w14:solidFill>
                    <w14:schemeClr w14:val="tx1"/>
                  </w14:solidFill>
                </w14:textFill>
              </w:rPr>
            </m:ctrlPr>
          </m:sSub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is calculated, using the maximum of </w:t>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at the window W extremities. Thus </w:t>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frame,l</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is calculated using </w:t>
      </w:r>
      <m:oMath>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r>
          <m:rPr/>
          <w:rPr>
            <w:rFonts w:ascii="Cambria Math" w:hAnsi="Cambria Math"/>
            <w:color w:val="000000" w:themeColor="text1"/>
            <w14:textFill>
              <w14:solidFill>
                <w14:schemeClr w14:val="tx1"/>
              </w14:solidFill>
            </w14:textFill>
          </w:rPr>
          <m:t>=∆</m:t>
        </m:r>
        <m:sSub>
          <m:sSubPr>
            <m:ctrlPr>
              <w:rPr>
                <w:rFonts w:ascii="Cambria Math" w:hAnsi="Cambria Math"/>
                <w:i/>
                <w:iCs/>
                <w:color w:val="000000" w:themeColor="text1"/>
                <w14:textFill>
                  <w14:solidFill>
                    <w14:schemeClr w14:val="tx1"/>
                  </w14:solidFill>
                </w14:textFill>
              </w:rPr>
            </m:ctrlPr>
          </m:sSubPr>
          <m:e>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l</m:t>
            </m:r>
            <m:ctrlPr>
              <w:rPr>
                <w:rFonts w:ascii="Cambria Math" w:hAnsi="Cambria Math"/>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and </w:t>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frame,h</m:t>
            </m:r>
            <m:ctrlPr>
              <w:rPr>
                <w:rFonts w:ascii="Cambria Math" w:hAnsi="Cambria Math" w:eastAsia="×–¾’©‘Ì"/>
                <w:i/>
                <w:iCs/>
                <w:color w:val="000000" w:themeColor="text1"/>
                <w14:textFill>
                  <w14:solidFill>
                    <w14:schemeClr w14:val="tx1"/>
                  </w14:solidFill>
                </w14:textFill>
              </w:rPr>
            </m:ctrlPr>
          </m:sub>
        </m:sSub>
      </m:oMath>
      <w:r>
        <w:rPr>
          <w:rFonts w:eastAsia="×–¾’©‘Ì"/>
          <w:i/>
          <w:iCs/>
          <w:color w:val="000000" w:themeColor="text1"/>
          <w14:textFill>
            <w14:solidFill>
              <w14:schemeClr w14:val="tx1"/>
            </w14:solidFill>
          </w14:textFill>
        </w:rPr>
        <w:t xml:space="preserve"> i</w:t>
      </w:r>
      <w:r>
        <w:rPr>
          <w:i/>
          <w:iCs/>
          <w:color w:val="000000" w:themeColor="text1"/>
          <w14:textFill>
            <w14:solidFill>
              <w14:schemeClr w14:val="tx1"/>
            </w14:solidFill>
          </w14:textFill>
        </w:rPr>
        <w:t xml:space="preserve">s calculated using </w:t>
      </w:r>
      <m:oMath>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r>
          <m:rPr/>
          <w:rPr>
            <w:rFonts w:ascii="Cambria Math" w:hAnsi="Cambria Math"/>
            <w:color w:val="000000" w:themeColor="text1"/>
            <w14:textFill>
              <w14:solidFill>
                <w14:schemeClr w14:val="tx1"/>
              </w14:solidFill>
            </w14:textFill>
          </w:rPr>
          <m:t>=∆</m:t>
        </m:r>
        <m:sSub>
          <m:sSubPr>
            <m:ctrlPr>
              <w:rPr>
                <w:rFonts w:ascii="Cambria Math" w:hAnsi="Cambria Math"/>
                <w:i/>
                <w:iCs/>
                <w:color w:val="000000" w:themeColor="text1"/>
                <w14:textFill>
                  <w14:solidFill>
                    <w14:schemeClr w14:val="tx1"/>
                  </w14:solidFill>
                </w14:textFill>
              </w:rPr>
            </m:ctrlPr>
          </m:sSubPr>
          <m:e>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ℎ</m:t>
            </m:r>
            <m:ctrlPr>
              <w:rPr>
                <w:rFonts w:ascii="Cambria Math" w:hAnsi="Cambria Math"/>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(l and h, low and high; where low is the timing </w:t>
      </w:r>
      <m:oMath>
        <m:d>
          <m:dPr>
            <m:ctrlPr>
              <w:rPr>
                <w:rFonts w:ascii="Cambria Math" w:hAnsi="Cambria Math"/>
                <w:i/>
                <w:iCs/>
                <w:color w:val="000000" w:themeColor="text1"/>
                <w14:textFill>
                  <w14:solidFill>
                    <w14:schemeClr w14:val="tx1"/>
                  </w14:solidFill>
                </w14:textFill>
              </w:rPr>
            </m:ctrlPr>
          </m:dPr>
          <m:e>
            <m:r>
              <m:rPr/>
              <w:rPr>
                <w:rFonts w:ascii="Cambria Math" w:hAnsi="Cambria Math"/>
                <w:color w:val="000000" w:themeColor="text1"/>
                <w14:textFill>
                  <w14:solidFill>
                    <w14:schemeClr w14:val="tx1"/>
                  </w14:solidFill>
                </w14:textFill>
              </w:rPr>
              <m:t>∆c−W/2</m:t>
            </m:r>
            <m:ctrlPr>
              <w:rPr>
                <w:rFonts w:ascii="Cambria Math" w:hAnsi="Cambria Math"/>
                <w:i/>
                <w:iCs/>
                <w:color w:val="000000" w:themeColor="text1"/>
                <w14:textFill>
                  <w14:solidFill>
                    <w14:schemeClr w14:val="tx1"/>
                  </w14:solidFill>
                </w14:textFill>
              </w:rPr>
            </m:ctrlPr>
          </m:e>
        </m:d>
      </m:oMath>
      <w:r>
        <w:rPr>
          <w:i/>
          <w:iCs/>
          <w:color w:val="000000" w:themeColor="text1"/>
          <w14:textFill>
            <w14:solidFill>
              <w14:schemeClr w14:val="tx1"/>
            </w14:solidFill>
          </w14:textFill>
        </w:rPr>
        <w:t xml:space="preserve"> and and high is the timing </w:t>
      </w:r>
      <m:oMath>
        <m:d>
          <m:dPr>
            <m:ctrlPr>
              <w:rPr>
                <w:rFonts w:ascii="Cambria Math" w:hAnsi="Cambria Math"/>
                <w:i/>
                <w:iCs/>
                <w:color w:val="000000" w:themeColor="text1"/>
                <w14:textFill>
                  <w14:solidFill>
                    <w14:schemeClr w14:val="tx1"/>
                  </w14:solidFill>
                </w14:textFill>
              </w:rPr>
            </m:ctrlPr>
          </m:dPr>
          <m:e>
            <m:r>
              <m:rPr/>
              <w:rPr>
                <w:rFonts w:ascii="Cambria Math" w:hAnsi="Cambria Math"/>
                <w:color w:val="000000" w:themeColor="text1"/>
                <w14:textFill>
                  <w14:solidFill>
                    <w14:schemeClr w14:val="tx1"/>
                  </w14:solidFill>
                </w14:textFill>
              </w:rPr>
              <m:t>∆c+W/2</m:t>
            </m:r>
            <m:ctrlPr>
              <w:rPr>
                <w:rFonts w:ascii="Cambria Math" w:hAnsi="Cambria Math"/>
                <w:i/>
                <w:iCs/>
                <w:color w:val="000000" w:themeColor="text1"/>
                <w14:textFill>
                  <w14:solidFill>
                    <w14:schemeClr w14:val="tx1"/>
                  </w14:solidFill>
                </w14:textFill>
              </w:rPr>
            </m:ctrlPr>
          </m:e>
        </m:d>
      </m:oMath>
      <w:r>
        <w:rPr>
          <w:i/>
          <w:iCs/>
          <w:color w:val="000000" w:themeColor="text1"/>
          <w14:textFill>
            <w14:solidFill>
              <w14:schemeClr w14:val="tx1"/>
            </w14:solidFill>
          </w14:textFill>
        </w:rPr>
        <w:t>).</w:t>
      </w:r>
    </w:p>
    <w:p w14:paraId="1EDE6C58">
      <w:pPr>
        <w:pStyle w:val="46"/>
        <w:jc w:val="center"/>
        <w:rPr>
          <w:i/>
          <w:iCs/>
          <w:color w:val="000000" w:themeColor="text1"/>
          <w14:textFill>
            <w14:solidFill>
              <w14:schemeClr w14:val="tx1"/>
            </w14:solidFill>
          </w14:textFill>
        </w:rPr>
      </w:pPr>
      <m:oMathPara>
        <m:oMath>
          <m:sSub>
            <m:sSubPr>
              <m:ctrlPr>
                <w:rPr>
                  <w:rFonts w:ascii="Cambria Math" w:hAnsi="Cambria Math" w:eastAsia="×–¾’©‘Ì"/>
                  <w:i/>
                  <w:iCs/>
                  <w:color w:val="000000" w:themeColor="text1"/>
                  <w14:textFill>
                    <w14:solidFill>
                      <w14:schemeClr w14:val="tx1"/>
                    </w14:solidFill>
                  </w14:textFill>
                </w:rPr>
              </m:ctrlPr>
            </m:sSub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r>
            <m:rPr/>
            <w:rPr>
              <w:rFonts w:ascii="Cambria Math" w:hAnsi="Cambria Math" w:eastAsia="×–¾’©‘Ì"/>
              <w:color w:val="000000" w:themeColor="text1"/>
              <w14:textFill>
                <w14:solidFill>
                  <w14:schemeClr w14:val="tx1"/>
                </w14:solidFill>
              </w14:textFill>
            </w:rPr>
            <m:t>=</m:t>
          </m:r>
          <m:func>
            <m:funcPr>
              <m:ctrlPr>
                <w:rPr>
                  <w:rFonts w:ascii="Cambria Math" w:hAnsi="Cambria Math" w:eastAsia="×–¾’©‘Ì"/>
                  <w:i/>
                  <w:iCs/>
                  <w:color w:val="000000" w:themeColor="text1"/>
                  <w14:textFill>
                    <w14:solidFill>
                      <w14:schemeClr w14:val="tx1"/>
                    </w14:solidFill>
                  </w14:textFill>
                </w:rPr>
              </m:ctrlPr>
            </m:funcPr>
            <m:fName>
              <m:r>
                <m:rPr/>
                <w:rPr>
                  <w:rFonts w:ascii="Cambria Math" w:hAnsi="Cambria Math" w:eastAsia="×–¾’©‘Ì"/>
                  <w:color w:val="000000" w:themeColor="text1"/>
                  <w14:textFill>
                    <w14:solidFill>
                      <w14:schemeClr w14:val="tx1"/>
                    </w14:solidFill>
                  </w14:textFill>
                </w:rPr>
                <m:t>max</m:t>
              </m:r>
              <m:ctrlPr>
                <w:rPr>
                  <w:rFonts w:ascii="Cambria Math" w:hAnsi="Cambria Math" w:eastAsia="×–¾’©‘Ì"/>
                  <w:i/>
                  <w:iCs/>
                  <w:color w:val="000000" w:themeColor="text1"/>
                  <w14:textFill>
                    <w14:solidFill>
                      <w14:schemeClr w14:val="tx1"/>
                    </w14:solidFill>
                  </w14:textFill>
                </w:rPr>
              </m:ctrlPr>
            </m:fName>
            <m:e>
              <m:d>
                <m:dPr>
                  <m:ctrlPr>
                    <w:rPr>
                      <w:rFonts w:ascii="Cambria Math" w:hAnsi="Cambria Math" w:eastAsia="×–¾’©‘Ì"/>
                      <w:i/>
                      <w:iCs/>
                      <w:color w:val="000000" w:themeColor="text1"/>
                      <w14:textFill>
                        <w14:solidFill>
                          <w14:schemeClr w14:val="tx1"/>
                        </w14:solidFill>
                      </w14:textFill>
                    </w:rPr>
                  </m:ctrlPr>
                </m:dPr>
                <m:e>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frame,l</m:t>
                      </m:r>
                      <m:ctrlPr>
                        <w:rPr>
                          <w:rFonts w:ascii="Cambria Math" w:hAnsi="Cambria Math" w:eastAsia="×–¾’©‘Ì"/>
                          <w:i/>
                          <w:iCs/>
                          <w:color w:val="000000" w:themeColor="text1"/>
                          <w14:textFill>
                            <w14:solidFill>
                              <w14:schemeClr w14:val="tx1"/>
                            </w14:solidFill>
                          </w14:textFill>
                        </w:rPr>
                      </m:ctrlPr>
                    </m:sub>
                  </m:sSub>
                  <m:r>
                    <m:rPr/>
                    <w:rPr>
                      <w:rFonts w:ascii="Cambria Math" w:hAnsi="Cambria Math" w:eastAsia="×–¾’©‘Ì"/>
                      <w:color w:val="000000" w:themeColor="text1"/>
                      <w14:textFill>
                        <w14:solidFill>
                          <w14:schemeClr w14:val="tx1"/>
                        </w14:solidFill>
                      </w14:textFill>
                    </w:rPr>
                    <m:t>,</m:t>
                  </m:r>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frame,h</m:t>
                      </m:r>
                      <m:ctrlPr>
                        <w:rPr>
                          <w:rFonts w:ascii="Cambria Math" w:hAnsi="Cambria Math" w:eastAsia="×–¾’©‘Ì"/>
                          <w:i/>
                          <w:iCs/>
                          <w:color w:val="000000" w:themeColor="text1"/>
                          <w14:textFill>
                            <w14:solidFill>
                              <w14:schemeClr w14:val="tx1"/>
                            </w14:solidFill>
                          </w14:textFill>
                        </w:rPr>
                      </m:ctrlPr>
                    </m:sub>
                  </m:sSub>
                  <m:ctrlPr>
                    <w:rPr>
                      <w:rFonts w:ascii="Cambria Math" w:hAnsi="Cambria Math" w:eastAsia="×–¾’©‘Ì"/>
                      <w:i/>
                      <w:iCs/>
                      <w:color w:val="000000" w:themeColor="text1"/>
                      <w14:textFill>
                        <w14:solidFill>
                          <w14:schemeClr w14:val="tx1"/>
                        </w14:solidFill>
                      </w14:textFill>
                    </w:rPr>
                  </m:ctrlPr>
                </m:e>
              </m:d>
              <m:ctrlPr>
                <w:rPr>
                  <w:rFonts w:ascii="Cambria Math" w:hAnsi="Cambria Math" w:eastAsia="×–¾’©‘Ì"/>
                  <w:i/>
                  <w:iCs/>
                  <w:color w:val="000000" w:themeColor="text1"/>
                  <w14:textFill>
                    <w14:solidFill>
                      <w14:schemeClr w14:val="tx1"/>
                    </w14:solidFill>
                  </w14:textFill>
                </w:rPr>
              </m:ctrlPr>
            </m:e>
          </m:func>
        </m:oMath>
      </m:oMathPara>
    </w:p>
    <w:p w14:paraId="0CC7654C">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14:textFill>
            <w14:solidFill>
              <w14:schemeClr w14:val="tx1"/>
            </w14:solidFill>
          </w14:textFill>
        </w:rPr>
        <w:t xml:space="preserve">In order to unite at least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dl_symbol</m:t>
            </m:r>
            <m:ctrlPr>
              <w:rPr>
                <w:rFonts w:ascii="Cambria Math" w:hAnsi="Cambria Math" w:eastAsia="Osaka"/>
                <w:i/>
                <w:iCs/>
                <w:color w:val="000000" w:themeColor="text1"/>
                <w14:textFill>
                  <w14:solidFill>
                    <w14:schemeClr w14:val="tx1"/>
                  </w14:solidFill>
                </w14:textFill>
              </w:rPr>
            </m:ctrlPr>
          </m:sub>
        </m:sSub>
      </m:oMath>
      <w:r>
        <w:rPr>
          <w:i/>
          <w:iCs/>
          <w:color w:val="000000" w:themeColor="text1"/>
          <w:lang w:eastAsia="ko-KR"/>
          <w14:textFill>
            <w14:solidFill>
              <w14:schemeClr w14:val="tx1"/>
            </w14:solidFill>
          </w14:textFill>
        </w:rPr>
        <w:t xml:space="preserve"> slots</w:t>
      </w:r>
      <w:r>
        <w:rPr>
          <w:i/>
          <w:iCs/>
          <w:color w:val="000000" w:themeColor="text1"/>
          <w14:textFill>
            <w14:solidFill>
              <w14:schemeClr w14:val="tx1"/>
            </w14:solidFill>
          </w14:textFill>
        </w:rPr>
        <w:t xml:space="preserve">, consider the minimum integer number of 10 ms measurement intervals, where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oMath>
      <w:r>
        <w:rPr>
          <w:i/>
          <w:iCs/>
          <w:color w:val="000000" w:themeColor="text1"/>
          <w:lang w:eastAsia="ko-KR"/>
          <w14:textFill>
            <w14:solidFill>
              <w14:schemeClr w14:val="tx1"/>
            </w14:solidFill>
          </w14:textFill>
        </w:rPr>
        <w:t xml:space="preserve"> is determined by</w:t>
      </w:r>
      <w:r>
        <w:rPr>
          <w:i/>
          <w:iCs/>
          <w:color w:val="000000" w:themeColor="text1"/>
          <w14:textFill>
            <w14:solidFill>
              <w14:schemeClr w14:val="tx1"/>
            </w14:solidFill>
          </w14:textFill>
        </w:rPr>
        <w:t>.</w:t>
      </w:r>
    </w:p>
    <w:p w14:paraId="6EE7A79E">
      <w:pPr>
        <w:pStyle w:val="46"/>
        <w:rPr>
          <w:rFonts w:eastAsia="×–¾’©‘Ì"/>
          <w:i/>
          <w:iCs/>
          <w:color w:val="000000" w:themeColor="text1"/>
          <w14:textFill>
            <w14:solidFill>
              <w14:schemeClr w14:val="tx1"/>
            </w14:solidFill>
          </w14:textFill>
        </w:rPr>
      </w:pPr>
      <m:oMathPara>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m:t>
          </m:r>
          <m:d>
            <m:dPr>
              <m:begChr m:val="⌈"/>
              <m:endChr m:val="⌉"/>
              <m:ctrlPr>
                <w:rPr>
                  <w:rFonts w:ascii="Cambria Math" w:hAnsi="Cambria Math"/>
                  <w:i/>
                  <w:iCs/>
                  <w:color w:val="000000" w:themeColor="text1"/>
                  <w:lang w:eastAsia="ko-KR"/>
                  <w14:textFill>
                    <w14:solidFill>
                      <w14:schemeClr w14:val="tx1"/>
                    </w14:solidFill>
                  </w14:textFill>
                </w:rPr>
              </m:ctrlPr>
            </m:dPr>
            <m:e>
              <m:f>
                <m:fPr>
                  <m:ctrlPr>
                    <w:rPr>
                      <w:rFonts w:ascii="Cambria Math" w:hAnsi="Cambria Math"/>
                      <w:i/>
                      <w:iCs/>
                      <w:color w:val="000000" w:themeColor="text1"/>
                      <w:lang w:eastAsia="ko-KR"/>
                      <w14:textFill>
                        <w14:solidFill>
                          <w14:schemeClr w14:val="tx1"/>
                        </w14:solidFill>
                      </w14:textFill>
                    </w:rPr>
                  </m:ctrlPr>
                </m:fPr>
                <m:num>
                  <m:r>
                    <m:rPr/>
                    <w:rPr>
                      <w:rFonts w:ascii="Cambria Math" w:hAnsi="Cambria Math"/>
                      <w:color w:val="000000" w:themeColor="text1"/>
                      <w:lang w:eastAsia="ko-KR"/>
                      <w14:textFill>
                        <w14:solidFill>
                          <w14:schemeClr w14:val="tx1"/>
                        </w14:solidFill>
                      </w14:textFill>
                    </w:rPr>
                    <m:t>10</m:t>
                  </m:r>
                  <m:r>
                    <m:rPr/>
                    <w:rPr>
                      <w:rFonts w:ascii="Cambria Math" w:hAnsi="Cambria Math" w:eastAsia="×–¾’©‘Ì"/>
                      <w:color w:val="000000" w:themeColor="text1"/>
                      <w:lang w:eastAsia="ko-KR"/>
                      <w14:textFill>
                        <w14:solidFill>
                          <w14:schemeClr w14:val="tx1"/>
                        </w14:solidFill>
                      </w14:textFill>
                    </w:rPr>
                    <m:t>×</m:t>
                  </m:r>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ctrlPr>
                    <w:rPr>
                      <w:rFonts w:ascii="Cambria Math" w:hAnsi="Cambria Math"/>
                      <w:i/>
                      <w:iCs/>
                      <w:color w:val="000000" w:themeColor="text1"/>
                      <w:lang w:eastAsia="ko-KR"/>
                      <w14:textFill>
                        <w14:solidFill>
                          <w14:schemeClr w14:val="tx1"/>
                        </w14:solidFill>
                      </w14:textFill>
                    </w:rPr>
                  </m:ctrlPr>
                </m:num>
                <m:den>
                  <m:r>
                    <m:rPr/>
                    <w:rPr>
                      <w:rFonts w:ascii="Cambria Math" w:hAnsi="Cambria Math"/>
                      <w:color w:val="000000" w:themeColor="text1"/>
                      <w:lang w:eastAsia="ko-KR"/>
                      <w14:textFill>
                        <w14:solidFill>
                          <w14:schemeClr w14:val="tx1"/>
                        </w14:solidFill>
                      </w14:textFill>
                    </w:rPr>
                    <m:t xml:space="preserve"> </m:t>
                  </m:r>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dl_symbols</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TDD</m:t>
                      </m:r>
                      <m:ctrlPr>
                        <w:rPr>
                          <w:rFonts w:ascii="Cambria Math" w:hAnsi="Cambria Math"/>
                          <w:i/>
                          <w:iCs/>
                          <w:color w:val="000000" w:themeColor="text1"/>
                          <w:lang w:eastAsia="ko-KR"/>
                          <w14:textFill>
                            <w14:solidFill>
                              <w14:schemeClr w14:val="tx1"/>
                            </w14:solidFill>
                          </w14:textFill>
                        </w:rPr>
                      </m:ctrlPr>
                    </m:sup>
                  </m:sSubSup>
                  <m:ctrlPr>
                    <w:rPr>
                      <w:rFonts w:ascii="Cambria Math" w:hAnsi="Cambria Math"/>
                      <w:i/>
                      <w:iCs/>
                      <w:color w:val="000000" w:themeColor="text1"/>
                      <w:lang w:eastAsia="ko-KR"/>
                      <w14:textFill>
                        <w14:solidFill>
                          <w14:schemeClr w14:val="tx1"/>
                        </w14:solidFill>
                      </w14:textFill>
                    </w:rPr>
                  </m:ctrlPr>
                </m:den>
              </m:f>
              <m:ctrlPr>
                <w:rPr>
                  <w:rFonts w:ascii="Cambria Math" w:hAnsi="Cambria Math"/>
                  <w:i/>
                  <w:iCs/>
                  <w:color w:val="000000" w:themeColor="text1"/>
                  <w:lang w:eastAsia="ko-KR"/>
                  <w14:textFill>
                    <w14:solidFill>
                      <w14:schemeClr w14:val="tx1"/>
                    </w14:solidFill>
                  </w14:textFill>
                </w:rPr>
              </m:ctrlPr>
            </m:e>
          </m:d>
        </m:oMath>
      </m:oMathPara>
    </w:p>
    <w:p w14:paraId="03249B4B">
      <w:pPr>
        <w:pStyle w:val="108"/>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 xml:space="preserve">and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=14</m:t>
        </m:r>
      </m:oMath>
      <w:r>
        <w:rPr>
          <w:i/>
          <w:iCs/>
          <w:color w:val="000000" w:themeColor="text1"/>
          <w:lang w:eastAsia="ko-KR"/>
          <w14:textFill>
            <w14:solidFill>
              <w14:schemeClr w14:val="tx1"/>
            </w14:solidFill>
          </w14:textFill>
        </w:rPr>
        <w:t xml:space="preserve"> for 15 kHz SCS,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=28</m:t>
        </m:r>
      </m:oMath>
      <w:r>
        <w:rPr>
          <w:i/>
          <w:iCs/>
          <w:color w:val="000000" w:themeColor="text1"/>
          <w:lang w:eastAsia="ko-KR"/>
          <w14:textFill>
            <w14:solidFill>
              <w14:schemeClr w14:val="tx1"/>
            </w14:solidFill>
          </w14:textFill>
        </w:rPr>
        <w:t xml:space="preserve"> for 30 kHz SCS and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=56</m:t>
        </m:r>
      </m:oMath>
      <w:r>
        <w:rPr>
          <w:i/>
          <w:iCs/>
          <w:color w:val="000000" w:themeColor="text1"/>
          <w:lang w:eastAsia="ko-KR"/>
          <w14:textFill>
            <w14:solidFill>
              <w14:schemeClr w14:val="tx1"/>
            </w14:solidFill>
          </w14:textFill>
        </w:rPr>
        <w:t xml:space="preserve"> for 60 kHz SCS normal CP.</w:t>
      </w:r>
    </w:p>
    <w:p w14:paraId="217A666B">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14:textFill>
            <w14:solidFill>
              <w14:schemeClr w14:val="tx1"/>
            </w14:solidFill>
          </w14:textFill>
        </w:rPr>
        <w:t>Unite by RMS.</w:t>
      </w:r>
    </w:p>
    <w:p w14:paraId="2A3C3186">
      <w:pPr>
        <w:pStyle w:val="46"/>
        <w:rPr>
          <w:rFonts w:hint="eastAsia"/>
          <w:sz w:val="20"/>
          <w:szCs w:val="20"/>
        </w:rPr>
      </w:pPr>
      <m:oMathPara>
        <m:oMath>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r>
            <m:rPr/>
            <w:rPr>
              <w:rFonts w:ascii="Cambria Math" w:hAnsi="Cambria Math" w:eastAsia="×–¾’©‘Ì"/>
              <w:color w:val="000000" w:themeColor="text1"/>
              <w14:textFill>
                <w14:solidFill>
                  <w14:schemeClr w14:val="tx1"/>
                </w14:solidFill>
              </w14:textFill>
            </w:rPr>
            <m:t>=</m:t>
          </m:r>
          <m:rad>
            <m:radPr>
              <m:degHide m:val="1"/>
              <m:ctrlPr>
                <w:rPr>
                  <w:rFonts w:ascii="Cambria Math" w:hAnsi="Cambria Math"/>
                  <w:i/>
                  <w:iCs/>
                  <w:color w:val="000000" w:themeColor="text1"/>
                  <w:lang w:eastAsia="ko-KR"/>
                  <w14:textFill>
                    <w14:solidFill>
                      <w14:schemeClr w14:val="tx1"/>
                    </w14:solidFill>
                  </w14:textFill>
                </w:rPr>
              </m:ctrlPr>
            </m:radPr>
            <m:deg>
              <m:ctrlPr>
                <w:rPr>
                  <w:rFonts w:ascii="Cambria Math" w:hAnsi="Cambria Math"/>
                  <w:i/>
                  <w:iCs/>
                  <w:color w:val="000000" w:themeColor="text1"/>
                  <w:lang w:eastAsia="ko-KR"/>
                  <w14:textFill>
                    <w14:solidFill>
                      <w14:schemeClr w14:val="tx1"/>
                    </w14:solidFill>
                  </w14:textFill>
                </w:rPr>
              </m:ctrlPr>
            </m:deg>
            <m:e>
              <m:f>
                <m:fPr>
                  <m:ctrlPr>
                    <w:rPr>
                      <w:rFonts w:ascii="Cambria Math" w:hAnsi="Cambria Math"/>
                      <w:i/>
                      <w:iCs/>
                      <w:color w:val="000000" w:themeColor="text1"/>
                      <w:lang w:eastAsia="ko-KR"/>
                      <w14:textFill>
                        <w14:solidFill>
                          <w14:schemeClr w14:val="tx1"/>
                        </w14:solidFill>
                      </w14:textFill>
                    </w:rPr>
                  </m:ctrlPr>
                </m:fPr>
                <m:num>
                  <m:r>
                    <m:rPr/>
                    <w:rPr>
                      <w:rFonts w:ascii="Cambria Math" w:hAnsi="Cambria Math"/>
                      <w:color w:val="000000" w:themeColor="text1"/>
                      <w:lang w:eastAsia="ko-KR"/>
                      <w14:textFill>
                        <w14:solidFill>
                          <w14:schemeClr w14:val="tx1"/>
                        </w14:solidFill>
                      </w14:textFill>
                    </w:rPr>
                    <m:t>1</m:t>
                  </m:r>
                  <m:ctrlPr>
                    <w:rPr>
                      <w:rFonts w:ascii="Cambria Math" w:hAnsi="Cambria Math"/>
                      <w:i/>
                      <w:iCs/>
                      <w:color w:val="000000" w:themeColor="text1"/>
                      <w:lang w:eastAsia="ko-KR"/>
                      <w14:textFill>
                        <w14:solidFill>
                          <w14:schemeClr w14:val="tx1"/>
                        </w14:solidFill>
                      </w14:textFill>
                    </w:rPr>
                  </m:ctrlPr>
                </m:num>
                <m:den>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ctrlPr>
                    <w:rPr>
                      <w:rFonts w:ascii="Cambria Math" w:hAnsi="Cambria Math"/>
                      <w:i/>
                      <w:iCs/>
                      <w:color w:val="000000" w:themeColor="text1"/>
                      <w:lang w:eastAsia="ko-KR"/>
                      <w14:textFill>
                        <w14:solidFill>
                          <w14:schemeClr w14:val="tx1"/>
                        </w14:solidFill>
                      </w14:textFill>
                    </w:rPr>
                  </m:ctrlPr>
                </m:den>
              </m:f>
              <m:nary>
                <m:naryPr>
                  <m:chr m:val="∑"/>
                  <m:limLoc m:val="undOvr"/>
                  <m:ctrlPr>
                    <w:rPr>
                      <w:rFonts w:ascii="Cambria Math" w:hAnsi="Cambria Math"/>
                      <w:i/>
                      <w:iCs/>
                      <w:color w:val="000000" w:themeColor="text1"/>
                      <w:lang w:eastAsia="ko-KR"/>
                      <w14:textFill>
                        <w14:solidFill>
                          <w14:schemeClr w14:val="tx1"/>
                        </w14:solidFill>
                      </w14:textFill>
                    </w:rPr>
                  </m:ctrlPr>
                </m:naryPr>
                <m:sub>
                  <m:r>
                    <m:rPr/>
                    <w:rPr>
                      <w:rFonts w:ascii="Cambria Math" w:hAnsi="Cambria Math"/>
                      <w:color w:val="000000" w:themeColor="text1"/>
                      <w:lang w:eastAsia="ko-KR"/>
                      <w14:textFill>
                        <w14:solidFill>
                          <w14:schemeClr w14:val="tx1"/>
                        </w14:solidFill>
                      </w14:textFill>
                    </w:rPr>
                    <m:t>k=1</m:t>
                  </m:r>
                  <m:ctrlPr>
                    <w:rPr>
                      <w:rFonts w:ascii="Cambria Math" w:hAnsi="Cambria Math"/>
                      <w:i/>
                      <w:iCs/>
                      <w:color w:val="000000" w:themeColor="text1"/>
                      <w:lang w:eastAsia="ko-KR"/>
                      <w14:textFill>
                        <w14:solidFill>
                          <w14:schemeClr w14:val="tx1"/>
                        </w14:solidFill>
                      </w14:textFill>
                    </w:rPr>
                  </m:ctrlPr>
                </m:sub>
                <m:sup>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ctrlPr>
                    <w:rPr>
                      <w:rFonts w:ascii="Cambria Math" w:hAnsi="Cambria Math"/>
                      <w:i/>
                      <w:iCs/>
                      <w:color w:val="000000" w:themeColor="text1"/>
                      <w:lang w:eastAsia="ko-KR"/>
                      <w14:textFill>
                        <w14:solidFill>
                          <w14:schemeClr w14:val="tx1"/>
                        </w14:solidFill>
                      </w14:textFill>
                    </w:rPr>
                  </m:ctrlPr>
                </m:sup>
                <m:e>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EVM</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frame,k</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2</m:t>
                      </m:r>
                      <m:ctrlPr>
                        <w:rPr>
                          <w:rFonts w:ascii="Cambria Math" w:hAnsi="Cambria Math"/>
                          <w:i/>
                          <w:iCs/>
                          <w:color w:val="000000" w:themeColor="text1"/>
                          <w:lang w:eastAsia="ko-KR"/>
                          <w14:textFill>
                            <w14:solidFill>
                              <w14:schemeClr w14:val="tx1"/>
                            </w14:solidFill>
                          </w14:textFill>
                        </w:rPr>
                      </m:ctrlPr>
                    </m:sup>
                  </m:sSubSup>
                  <m:ctrlPr>
                    <w:rPr>
                      <w:rFonts w:ascii="Cambria Math" w:hAnsi="Cambria Math"/>
                      <w:i/>
                      <w:iCs/>
                      <w:color w:val="000000" w:themeColor="text1"/>
                      <w:lang w:eastAsia="ko-KR"/>
                      <w14:textFill>
                        <w14:solidFill>
                          <w14:schemeClr w14:val="tx1"/>
                        </w14:solidFill>
                      </w14:textFill>
                    </w:rPr>
                  </m:ctrlPr>
                </m:e>
              </m:nary>
              <m:ctrlPr>
                <w:rPr>
                  <w:rFonts w:ascii="Cambria Math" w:hAnsi="Cambria Math"/>
                  <w:i/>
                  <w:iCs/>
                  <w:color w:val="000000" w:themeColor="text1"/>
                  <w:lang w:eastAsia="ko-KR"/>
                  <w14:textFill>
                    <w14:solidFill>
                      <w14:schemeClr w14:val="tx1"/>
                    </w14:solidFill>
                  </w14:textFill>
                </w:rPr>
              </m:ctrlPr>
            </m:e>
          </m:rad>
        </m:oMath>
      </m:oMathPara>
    </w:p>
    <w:p w14:paraId="4B470D99">
      <w:pPr>
        <w:pStyle w:val="58"/>
        <w:tabs>
          <w:tab w:val="left" w:pos="567"/>
          <w:tab w:val="clear" w:pos="1985"/>
        </w:tabs>
        <w:adjustRightInd w:val="0"/>
        <w:ind w:left="510" w:hanging="510"/>
      </w:pPr>
      <w:r>
        <w:t>References</w:t>
      </w:r>
    </w:p>
    <w:p w14:paraId="234218C2">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RP-234035,New WID: Evolution of NR duplex operation: Sub-band full duplex (SBFD), Huawei, Samsung, Approved.</w:t>
      </w:r>
    </w:p>
    <w:p w14:paraId="36E01B40">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TR 38.858</w:t>
      </w:r>
    </w:p>
    <w:p w14:paraId="738CD458">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fldChar w:fldCharType="begin"/>
      </w:r>
      <w:r>
        <w:instrText xml:space="preserve"> HYPERLINK "https://www.3gpp.org/ftp/TSG_RAN/WG4_Radio/TSGR4_109/Docs/R4-2321091.zip" \t "https://portal.3gpp.org/ngppapp/_blank" </w:instrText>
      </w:r>
      <w:r>
        <w:fldChar w:fldCharType="separate"/>
      </w:r>
      <w:r>
        <w:rPr>
          <w:rStyle w:val="31"/>
          <w:rFonts w:ascii="Times New Roman" w:hAnsi="Times New Roman" w:cs="Times New Roman"/>
          <w:color w:val="auto"/>
          <w:sz w:val="21"/>
          <w:szCs w:val="21"/>
          <w:shd w:val="clear" w:color="auto" w:fill="FFFFFF"/>
        </w:rPr>
        <w:t>R4-2321091</w:t>
      </w:r>
      <w:r>
        <w:rPr>
          <w:rStyle w:val="31"/>
          <w:rFonts w:ascii="Times New Roman" w:hAnsi="Times New Roman" w:cs="Times New Roman"/>
          <w:color w:val="auto"/>
          <w:sz w:val="21"/>
          <w:szCs w:val="21"/>
          <w:shd w:val="clear" w:color="auto" w:fill="FFFFFF"/>
        </w:rPr>
        <w:fldChar w:fldCharType="end"/>
      </w:r>
      <w:r>
        <w:rPr>
          <w:rStyle w:val="31"/>
          <w:rFonts w:hint="eastAsia" w:ascii="Times New Roman" w:hAnsi="Times New Roman" w:cs="Times New Roman"/>
          <w:color w:val="auto"/>
          <w:sz w:val="21"/>
          <w:szCs w:val="21"/>
          <w:shd w:val="clear" w:color="auto" w:fill="FFFFFF"/>
        </w:rPr>
        <w:t xml:space="preserve">, </w:t>
      </w:r>
      <w:r>
        <w:rPr>
          <w:rStyle w:val="31"/>
          <w:rFonts w:hint="eastAsia" w:ascii="Times New Roman" w:hAnsi="Times New Roman" w:cs="Times New Roman"/>
          <w:color w:val="auto"/>
          <w:sz w:val="21"/>
          <w:szCs w:val="21"/>
          <w:shd w:val="clear" w:color="auto" w:fill="FFFFFF"/>
          <w:lang w:eastAsia="en-US"/>
        </w:rPr>
        <w:t>TP to TR 38.858 Impact on BS RF requirements</w:t>
      </w:r>
      <w:r>
        <w:rPr>
          <w:rStyle w:val="31"/>
          <w:rFonts w:hint="eastAsia" w:ascii="Times New Roman" w:hAnsi="Times New Roman" w:cs="Times New Roman"/>
          <w:color w:val="auto"/>
          <w:sz w:val="21"/>
          <w:szCs w:val="21"/>
          <w:shd w:val="clear" w:color="auto" w:fill="FFFFFF"/>
        </w:rPr>
        <w:t>, ZTE, Agreed</w:t>
      </w:r>
    </w:p>
    <w:p w14:paraId="31C9A6A0">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ascii="Times New Roman" w:hAnsi="Times New Roman" w:cs="Times New Roman"/>
          <w:color w:val="auto"/>
          <w:sz w:val="21"/>
          <w:szCs w:val="21"/>
          <w:shd w:val="clear" w:color="auto" w:fill="FFFFFF"/>
        </w:rPr>
        <w:t>R4-2409958</w:t>
      </w:r>
      <w:r>
        <w:rPr>
          <w:rStyle w:val="31"/>
          <w:rFonts w:hint="eastAsia" w:ascii="Times New Roman" w:hAnsi="Times New Roman" w:cs="Times New Roman"/>
          <w:color w:val="auto"/>
          <w:sz w:val="21"/>
          <w:szCs w:val="21"/>
          <w:shd w:val="clear" w:color="auto" w:fill="FFFFFF"/>
        </w:rPr>
        <w:t>, Way forward for [111][313] NR_duplex_evo, Approved.</w:t>
      </w:r>
    </w:p>
    <w:p w14:paraId="444E3C5E">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R4-2413283, On modification of existing TX RF requirements for SBFD, Huawei</w:t>
      </w:r>
    </w:p>
    <w:p w14:paraId="50CC654D">
      <w:pPr>
        <w:pStyle w:val="22"/>
        <w:numPr>
          <w:ilvl w:val="0"/>
          <w:numId w:val="4"/>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R4-2413515, Way Forward for [112][308] NR_duplex_evo_BSRF, Approved</w:t>
      </w:r>
    </w:p>
    <w:p w14:paraId="28D78B65">
      <w:pPr>
        <w:pStyle w:val="22"/>
        <w:numPr>
          <w:ilvl w:val="0"/>
          <w:numId w:val="4"/>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R4-2411640,On the potentially new requirements for SBFD operation for FR1 and FR2-1, Samsung</w:t>
      </w:r>
    </w:p>
    <w:p w14:paraId="65EF9A25">
      <w:pPr>
        <w:pStyle w:val="22"/>
        <w:numPr>
          <w:ilvl w:val="0"/>
          <w:numId w:val="4"/>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R4-2416585</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eastAsia" w:ascii="Times New Roman" w:hAnsi="Times New Roman" w:cs="Times New Roman"/>
          <w:color w:val="auto"/>
          <w:sz w:val="21"/>
          <w:szCs w:val="21"/>
          <w:shd w:val="clear" w:color="auto" w:fill="FFFFFF"/>
        </w:rPr>
        <w:t>Way Forward for [112bis][307] NR_duplex_evo_BSRF</w:t>
      </w:r>
      <w:r>
        <w:rPr>
          <w:rStyle w:val="31"/>
          <w:rFonts w:hint="eastAsia" w:ascii="Times New Roman" w:hAnsi="Times New Roman" w:cs="Times New Roman"/>
          <w:color w:val="auto"/>
          <w:sz w:val="21"/>
          <w:szCs w:val="21"/>
          <w:shd w:val="clear" w:color="auto" w:fill="FFFFFF"/>
          <w:lang w:val="en-US" w:eastAsia="zh-CN"/>
        </w:rPr>
        <w:t>, Approved.</w:t>
      </w:r>
    </w:p>
    <w:p w14:paraId="5BD1D1E1">
      <w:pPr>
        <w:pStyle w:val="22"/>
        <w:numPr>
          <w:ilvl w:val="0"/>
          <w:numId w:val="4"/>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R4-2419907</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[113][306] NR_duplex_evo_General, Approved</w:t>
      </w:r>
    </w:p>
    <w:p w14:paraId="14485561">
      <w:pPr>
        <w:pStyle w:val="22"/>
        <w:numPr>
          <w:ilvl w:val="0"/>
          <w:numId w:val="4"/>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R4-2419908</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[113][307] NR_duplex_evo_BSRF, Approved.</w:t>
      </w:r>
    </w:p>
    <w:p w14:paraId="7B91DFA7">
      <w:pPr>
        <w:pStyle w:val="22"/>
        <w:numPr>
          <w:ilvl w:val="0"/>
          <w:numId w:val="0"/>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p>
    <w:p w14:paraId="733F2AE9">
      <w:pPr>
        <w:pStyle w:val="22"/>
        <w:numPr>
          <w:ilvl w:val="255"/>
          <w:numId w:val="0"/>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472C9CCD">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682810D5">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1B5D5753">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Osaka">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¾’©‘Ì">
    <w:altName w:val="Yu Gothic"/>
    <w:panose1 w:val="00000000000000000000"/>
    <w:charset w:val="80"/>
    <w:family w:val="auto"/>
    <w:pitch w:val="default"/>
    <w:sig w:usb0="00000000" w:usb1="00000000" w:usb2="00000010" w:usb3="00000000" w:csb0="00020001"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5C9C2">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702979"/>
    <w:multiLevelType w:val="singleLevel"/>
    <w:tmpl w:val="41702979"/>
    <w:lvl w:ilvl="0" w:tentative="0">
      <w:start w:val="1"/>
      <w:numFmt w:val="decimal"/>
      <w:lvlText w:val="[%1]"/>
      <w:lvlJc w:val="left"/>
      <w:pPr>
        <w:tabs>
          <w:tab w:val="left" w:pos="312"/>
        </w:tabs>
      </w:p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4A946AD"/>
    <w:multiLevelType w:val="multilevel"/>
    <w:tmpl w:val="74A946A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043AA"/>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B078B4"/>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8A28CC"/>
    <w:rsid w:val="02927A98"/>
    <w:rsid w:val="029342BD"/>
    <w:rsid w:val="029C7D5A"/>
    <w:rsid w:val="029D3139"/>
    <w:rsid w:val="02A12134"/>
    <w:rsid w:val="02A459BA"/>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45945"/>
    <w:rsid w:val="038B3715"/>
    <w:rsid w:val="03931FF8"/>
    <w:rsid w:val="039568DC"/>
    <w:rsid w:val="0395764C"/>
    <w:rsid w:val="039B69FD"/>
    <w:rsid w:val="03A32E58"/>
    <w:rsid w:val="03A62754"/>
    <w:rsid w:val="03A81532"/>
    <w:rsid w:val="03AC2829"/>
    <w:rsid w:val="03B20D4E"/>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77770"/>
    <w:rsid w:val="04ED5A99"/>
    <w:rsid w:val="04FB4499"/>
    <w:rsid w:val="04FF76AB"/>
    <w:rsid w:val="05010225"/>
    <w:rsid w:val="051034CD"/>
    <w:rsid w:val="051F43BC"/>
    <w:rsid w:val="05220527"/>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8E71D3"/>
    <w:rsid w:val="05930F73"/>
    <w:rsid w:val="05940F3F"/>
    <w:rsid w:val="05991C8F"/>
    <w:rsid w:val="059E152E"/>
    <w:rsid w:val="059F1811"/>
    <w:rsid w:val="059F3A06"/>
    <w:rsid w:val="05A07D47"/>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5FF456B"/>
    <w:rsid w:val="060030B7"/>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462AA"/>
    <w:rsid w:val="0656369A"/>
    <w:rsid w:val="065740AF"/>
    <w:rsid w:val="065A56A2"/>
    <w:rsid w:val="0665756F"/>
    <w:rsid w:val="066F6122"/>
    <w:rsid w:val="06735C62"/>
    <w:rsid w:val="067570AB"/>
    <w:rsid w:val="06776362"/>
    <w:rsid w:val="067B39B4"/>
    <w:rsid w:val="067D28AB"/>
    <w:rsid w:val="067D2A36"/>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82337"/>
    <w:rsid w:val="06DB688D"/>
    <w:rsid w:val="06DF7EFF"/>
    <w:rsid w:val="06E015C3"/>
    <w:rsid w:val="06E85678"/>
    <w:rsid w:val="06EF6236"/>
    <w:rsid w:val="06F30672"/>
    <w:rsid w:val="06F35A7A"/>
    <w:rsid w:val="06F35AB6"/>
    <w:rsid w:val="06F66B05"/>
    <w:rsid w:val="06FD118A"/>
    <w:rsid w:val="0702074E"/>
    <w:rsid w:val="0708086F"/>
    <w:rsid w:val="071A77D5"/>
    <w:rsid w:val="071D08AB"/>
    <w:rsid w:val="07220D76"/>
    <w:rsid w:val="07233462"/>
    <w:rsid w:val="072717DA"/>
    <w:rsid w:val="07277193"/>
    <w:rsid w:val="072B7E46"/>
    <w:rsid w:val="072F2139"/>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AF6AAA"/>
    <w:rsid w:val="07B45BA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91661"/>
    <w:rsid w:val="08400EAF"/>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36F12"/>
    <w:rsid w:val="096913F9"/>
    <w:rsid w:val="096B649C"/>
    <w:rsid w:val="096D7093"/>
    <w:rsid w:val="096F18AA"/>
    <w:rsid w:val="096F1D52"/>
    <w:rsid w:val="09713F26"/>
    <w:rsid w:val="0972140E"/>
    <w:rsid w:val="097554F6"/>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67577"/>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F1407D"/>
    <w:rsid w:val="09F21427"/>
    <w:rsid w:val="09F22A67"/>
    <w:rsid w:val="09F451E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0DF4"/>
    <w:rsid w:val="0A446B70"/>
    <w:rsid w:val="0A4758B8"/>
    <w:rsid w:val="0A5056C6"/>
    <w:rsid w:val="0A5060D6"/>
    <w:rsid w:val="0A570EAE"/>
    <w:rsid w:val="0A5F4C2E"/>
    <w:rsid w:val="0A6B69C2"/>
    <w:rsid w:val="0A7200B0"/>
    <w:rsid w:val="0A741F08"/>
    <w:rsid w:val="0A771CA5"/>
    <w:rsid w:val="0A77544C"/>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61DF7"/>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76014"/>
    <w:rsid w:val="0D984EEB"/>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54D4E"/>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13ABA"/>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42B59"/>
    <w:rsid w:val="0FB714C3"/>
    <w:rsid w:val="0FC12836"/>
    <w:rsid w:val="0FC427AC"/>
    <w:rsid w:val="0FD95333"/>
    <w:rsid w:val="0FDD44E9"/>
    <w:rsid w:val="0FE0698F"/>
    <w:rsid w:val="0FEA3F98"/>
    <w:rsid w:val="0FEB0378"/>
    <w:rsid w:val="0FEC322B"/>
    <w:rsid w:val="0FEC6EF6"/>
    <w:rsid w:val="0FF42F34"/>
    <w:rsid w:val="10036C5E"/>
    <w:rsid w:val="10045EE6"/>
    <w:rsid w:val="100476BF"/>
    <w:rsid w:val="10071FE5"/>
    <w:rsid w:val="100B49CF"/>
    <w:rsid w:val="100C1580"/>
    <w:rsid w:val="100D3B17"/>
    <w:rsid w:val="10145447"/>
    <w:rsid w:val="10154FE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91BBA"/>
    <w:rsid w:val="10613177"/>
    <w:rsid w:val="1063036B"/>
    <w:rsid w:val="10674DB0"/>
    <w:rsid w:val="10691A1A"/>
    <w:rsid w:val="106D678B"/>
    <w:rsid w:val="10721A0D"/>
    <w:rsid w:val="107374A2"/>
    <w:rsid w:val="10746083"/>
    <w:rsid w:val="10774625"/>
    <w:rsid w:val="107779F1"/>
    <w:rsid w:val="107B4809"/>
    <w:rsid w:val="10836F99"/>
    <w:rsid w:val="10886883"/>
    <w:rsid w:val="108A2129"/>
    <w:rsid w:val="10900CC5"/>
    <w:rsid w:val="10924B2D"/>
    <w:rsid w:val="10953B42"/>
    <w:rsid w:val="109755DE"/>
    <w:rsid w:val="10A12DB1"/>
    <w:rsid w:val="10A27D57"/>
    <w:rsid w:val="10A342B4"/>
    <w:rsid w:val="10B4235C"/>
    <w:rsid w:val="10B7486E"/>
    <w:rsid w:val="10BD429D"/>
    <w:rsid w:val="10C40346"/>
    <w:rsid w:val="10C85160"/>
    <w:rsid w:val="10CC5735"/>
    <w:rsid w:val="10D679E0"/>
    <w:rsid w:val="10DF786B"/>
    <w:rsid w:val="10EC75B1"/>
    <w:rsid w:val="10F33CC1"/>
    <w:rsid w:val="10FA45D2"/>
    <w:rsid w:val="10FD6E37"/>
    <w:rsid w:val="11024527"/>
    <w:rsid w:val="11060008"/>
    <w:rsid w:val="110A4489"/>
    <w:rsid w:val="11150F62"/>
    <w:rsid w:val="1116369A"/>
    <w:rsid w:val="111A28E5"/>
    <w:rsid w:val="111D46E5"/>
    <w:rsid w:val="111E5679"/>
    <w:rsid w:val="11280A27"/>
    <w:rsid w:val="112A64AC"/>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B5AD6"/>
    <w:rsid w:val="118F5D6B"/>
    <w:rsid w:val="11996649"/>
    <w:rsid w:val="119C152C"/>
    <w:rsid w:val="11A030A8"/>
    <w:rsid w:val="11AA61BD"/>
    <w:rsid w:val="11AB222F"/>
    <w:rsid w:val="11AC7561"/>
    <w:rsid w:val="11AE6531"/>
    <w:rsid w:val="11AF439E"/>
    <w:rsid w:val="11B50817"/>
    <w:rsid w:val="11B53536"/>
    <w:rsid w:val="11B66269"/>
    <w:rsid w:val="11BA0839"/>
    <w:rsid w:val="11BA18B5"/>
    <w:rsid w:val="11BE25B0"/>
    <w:rsid w:val="11CA3974"/>
    <w:rsid w:val="11D96062"/>
    <w:rsid w:val="11E4369D"/>
    <w:rsid w:val="11E53250"/>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812F0"/>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B7C40"/>
    <w:rsid w:val="128C036A"/>
    <w:rsid w:val="128E70AD"/>
    <w:rsid w:val="129535C1"/>
    <w:rsid w:val="1296782B"/>
    <w:rsid w:val="129D41B7"/>
    <w:rsid w:val="12A45BB3"/>
    <w:rsid w:val="12A9130F"/>
    <w:rsid w:val="12AA012C"/>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D7EEF"/>
    <w:rsid w:val="12EE6AFD"/>
    <w:rsid w:val="12F538D3"/>
    <w:rsid w:val="12F85F0D"/>
    <w:rsid w:val="12F97513"/>
    <w:rsid w:val="12FA6C0E"/>
    <w:rsid w:val="12FB7F3D"/>
    <w:rsid w:val="13017E6E"/>
    <w:rsid w:val="130611C7"/>
    <w:rsid w:val="1306326A"/>
    <w:rsid w:val="130C7624"/>
    <w:rsid w:val="130D7CA1"/>
    <w:rsid w:val="130E4C12"/>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6374E8"/>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7E7784"/>
    <w:rsid w:val="14812D74"/>
    <w:rsid w:val="14836C15"/>
    <w:rsid w:val="14862300"/>
    <w:rsid w:val="148B50C9"/>
    <w:rsid w:val="148C00A0"/>
    <w:rsid w:val="148D3653"/>
    <w:rsid w:val="148E7396"/>
    <w:rsid w:val="149363B8"/>
    <w:rsid w:val="149E0A7B"/>
    <w:rsid w:val="14A73EF9"/>
    <w:rsid w:val="14A75504"/>
    <w:rsid w:val="14A82A63"/>
    <w:rsid w:val="14A86EA4"/>
    <w:rsid w:val="14AC358C"/>
    <w:rsid w:val="14AD2764"/>
    <w:rsid w:val="14B227CC"/>
    <w:rsid w:val="14B76730"/>
    <w:rsid w:val="14C42DC7"/>
    <w:rsid w:val="14C767C8"/>
    <w:rsid w:val="14DB1D1B"/>
    <w:rsid w:val="14DE753E"/>
    <w:rsid w:val="14E64628"/>
    <w:rsid w:val="14E81AD4"/>
    <w:rsid w:val="14F1342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45860"/>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3322F"/>
    <w:rsid w:val="16A65B92"/>
    <w:rsid w:val="16A97F66"/>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6E2C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97C4D"/>
    <w:rsid w:val="183E4121"/>
    <w:rsid w:val="183F3DA9"/>
    <w:rsid w:val="184068C1"/>
    <w:rsid w:val="18420253"/>
    <w:rsid w:val="1848540C"/>
    <w:rsid w:val="18524B4C"/>
    <w:rsid w:val="18533B98"/>
    <w:rsid w:val="185546D2"/>
    <w:rsid w:val="18633981"/>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41BDF"/>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41C92"/>
    <w:rsid w:val="19A7296F"/>
    <w:rsid w:val="19A83029"/>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CC1842"/>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A255C"/>
    <w:rsid w:val="1C3E5B92"/>
    <w:rsid w:val="1C441419"/>
    <w:rsid w:val="1C4774DD"/>
    <w:rsid w:val="1C4A45C4"/>
    <w:rsid w:val="1C4B3310"/>
    <w:rsid w:val="1C561E66"/>
    <w:rsid w:val="1C5E3742"/>
    <w:rsid w:val="1C5F23B1"/>
    <w:rsid w:val="1C67631F"/>
    <w:rsid w:val="1C6B3493"/>
    <w:rsid w:val="1C6C66B2"/>
    <w:rsid w:val="1C6D07BF"/>
    <w:rsid w:val="1C6D4144"/>
    <w:rsid w:val="1C726EC3"/>
    <w:rsid w:val="1C793EB9"/>
    <w:rsid w:val="1C7B65E1"/>
    <w:rsid w:val="1C807142"/>
    <w:rsid w:val="1C90266F"/>
    <w:rsid w:val="1C9A166E"/>
    <w:rsid w:val="1C9C48A7"/>
    <w:rsid w:val="1CA16CCE"/>
    <w:rsid w:val="1CA4388D"/>
    <w:rsid w:val="1CAA7318"/>
    <w:rsid w:val="1CAB1830"/>
    <w:rsid w:val="1CAD2752"/>
    <w:rsid w:val="1CB702E9"/>
    <w:rsid w:val="1CBA5B32"/>
    <w:rsid w:val="1CBE0F85"/>
    <w:rsid w:val="1CBE5026"/>
    <w:rsid w:val="1CC1651E"/>
    <w:rsid w:val="1CCD6D74"/>
    <w:rsid w:val="1CD363DF"/>
    <w:rsid w:val="1CD8702E"/>
    <w:rsid w:val="1CD97139"/>
    <w:rsid w:val="1CE13063"/>
    <w:rsid w:val="1CE2616E"/>
    <w:rsid w:val="1CE75EF8"/>
    <w:rsid w:val="1CF15683"/>
    <w:rsid w:val="1CF333A5"/>
    <w:rsid w:val="1CF53F65"/>
    <w:rsid w:val="1CF73767"/>
    <w:rsid w:val="1CFA57E6"/>
    <w:rsid w:val="1D023336"/>
    <w:rsid w:val="1D031DDA"/>
    <w:rsid w:val="1D0B731D"/>
    <w:rsid w:val="1D163452"/>
    <w:rsid w:val="1D1D6A68"/>
    <w:rsid w:val="1D1F1D0C"/>
    <w:rsid w:val="1D2054C4"/>
    <w:rsid w:val="1D24658B"/>
    <w:rsid w:val="1D2D7E40"/>
    <w:rsid w:val="1D2E77E8"/>
    <w:rsid w:val="1D3479AD"/>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F462B"/>
    <w:rsid w:val="1DA1442D"/>
    <w:rsid w:val="1DA265B5"/>
    <w:rsid w:val="1DB26ED0"/>
    <w:rsid w:val="1DB835A9"/>
    <w:rsid w:val="1DC254A8"/>
    <w:rsid w:val="1DC603E1"/>
    <w:rsid w:val="1DD85EF7"/>
    <w:rsid w:val="1DEC45ED"/>
    <w:rsid w:val="1DF0663B"/>
    <w:rsid w:val="1DF2745E"/>
    <w:rsid w:val="1DF6398A"/>
    <w:rsid w:val="1DF71982"/>
    <w:rsid w:val="1DF8498F"/>
    <w:rsid w:val="1E02615D"/>
    <w:rsid w:val="1E093D7D"/>
    <w:rsid w:val="1E143B97"/>
    <w:rsid w:val="1E183872"/>
    <w:rsid w:val="1E1D7E95"/>
    <w:rsid w:val="1E201A27"/>
    <w:rsid w:val="1E20419F"/>
    <w:rsid w:val="1E224747"/>
    <w:rsid w:val="1E2B2F2B"/>
    <w:rsid w:val="1E304B88"/>
    <w:rsid w:val="1E377B48"/>
    <w:rsid w:val="1E382012"/>
    <w:rsid w:val="1E3E02E7"/>
    <w:rsid w:val="1E6703B7"/>
    <w:rsid w:val="1E680B85"/>
    <w:rsid w:val="1E6B2336"/>
    <w:rsid w:val="1E6D35EE"/>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06780"/>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6B6906"/>
    <w:rsid w:val="1F7959F4"/>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1286E"/>
    <w:rsid w:val="1FE76FD3"/>
    <w:rsid w:val="1FE91483"/>
    <w:rsid w:val="1FE94662"/>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63D53"/>
    <w:rsid w:val="20275ED1"/>
    <w:rsid w:val="203B1416"/>
    <w:rsid w:val="203C2005"/>
    <w:rsid w:val="20420995"/>
    <w:rsid w:val="20447B3E"/>
    <w:rsid w:val="204619A3"/>
    <w:rsid w:val="20463A2C"/>
    <w:rsid w:val="20486142"/>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263B9"/>
    <w:rsid w:val="2163647D"/>
    <w:rsid w:val="216C54DE"/>
    <w:rsid w:val="216E4095"/>
    <w:rsid w:val="217106CC"/>
    <w:rsid w:val="217A7539"/>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C1E49"/>
    <w:rsid w:val="2260538F"/>
    <w:rsid w:val="226650A3"/>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87831"/>
    <w:rsid w:val="22BA2D5C"/>
    <w:rsid w:val="22BA6F2B"/>
    <w:rsid w:val="22BB0082"/>
    <w:rsid w:val="22BC7DF2"/>
    <w:rsid w:val="22BD19A6"/>
    <w:rsid w:val="22BD504B"/>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106D"/>
    <w:rsid w:val="232D32D8"/>
    <w:rsid w:val="232E7AA0"/>
    <w:rsid w:val="232F4B8E"/>
    <w:rsid w:val="233027B0"/>
    <w:rsid w:val="233779B4"/>
    <w:rsid w:val="233C29CC"/>
    <w:rsid w:val="2341558C"/>
    <w:rsid w:val="23415924"/>
    <w:rsid w:val="23437735"/>
    <w:rsid w:val="23563407"/>
    <w:rsid w:val="23566DDF"/>
    <w:rsid w:val="23572E7E"/>
    <w:rsid w:val="23576BEC"/>
    <w:rsid w:val="235924CA"/>
    <w:rsid w:val="23592D87"/>
    <w:rsid w:val="235F162F"/>
    <w:rsid w:val="23601F43"/>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94969"/>
    <w:rsid w:val="23BD6F6C"/>
    <w:rsid w:val="23BF30A4"/>
    <w:rsid w:val="23C62FD3"/>
    <w:rsid w:val="23C80F4A"/>
    <w:rsid w:val="23C8373E"/>
    <w:rsid w:val="23CA1E9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D6C3D"/>
    <w:rsid w:val="255E0BEA"/>
    <w:rsid w:val="25627A70"/>
    <w:rsid w:val="256343AC"/>
    <w:rsid w:val="25645072"/>
    <w:rsid w:val="256777BF"/>
    <w:rsid w:val="25771B32"/>
    <w:rsid w:val="257C1A72"/>
    <w:rsid w:val="257C2374"/>
    <w:rsid w:val="257C76CA"/>
    <w:rsid w:val="257F18B5"/>
    <w:rsid w:val="25805FF5"/>
    <w:rsid w:val="25880457"/>
    <w:rsid w:val="258A3283"/>
    <w:rsid w:val="258E5E2C"/>
    <w:rsid w:val="258E66DC"/>
    <w:rsid w:val="258F15BB"/>
    <w:rsid w:val="259231BD"/>
    <w:rsid w:val="259B0F56"/>
    <w:rsid w:val="25A77DD4"/>
    <w:rsid w:val="25AD3F3E"/>
    <w:rsid w:val="25AE0C1E"/>
    <w:rsid w:val="25B05051"/>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72C02"/>
    <w:rsid w:val="2618762A"/>
    <w:rsid w:val="26217848"/>
    <w:rsid w:val="2625247E"/>
    <w:rsid w:val="262E20E8"/>
    <w:rsid w:val="262E34C1"/>
    <w:rsid w:val="26387022"/>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21E7"/>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27C7A"/>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5732"/>
    <w:rsid w:val="2763192A"/>
    <w:rsid w:val="276320D7"/>
    <w:rsid w:val="276F3D3A"/>
    <w:rsid w:val="27711B2C"/>
    <w:rsid w:val="27724672"/>
    <w:rsid w:val="27744B4E"/>
    <w:rsid w:val="277A1CB7"/>
    <w:rsid w:val="277A5E6A"/>
    <w:rsid w:val="278A6416"/>
    <w:rsid w:val="278B05AB"/>
    <w:rsid w:val="279408D2"/>
    <w:rsid w:val="279A2ED3"/>
    <w:rsid w:val="27A23025"/>
    <w:rsid w:val="27A46397"/>
    <w:rsid w:val="27B02558"/>
    <w:rsid w:val="27B027C6"/>
    <w:rsid w:val="27B03EC1"/>
    <w:rsid w:val="27B91021"/>
    <w:rsid w:val="27BA3133"/>
    <w:rsid w:val="27C06D17"/>
    <w:rsid w:val="27C66099"/>
    <w:rsid w:val="27CA7CDA"/>
    <w:rsid w:val="27D30EC2"/>
    <w:rsid w:val="27DF1D24"/>
    <w:rsid w:val="27E1545A"/>
    <w:rsid w:val="27E30D7E"/>
    <w:rsid w:val="27E43C95"/>
    <w:rsid w:val="27F20EFC"/>
    <w:rsid w:val="27F670F6"/>
    <w:rsid w:val="27FB11A8"/>
    <w:rsid w:val="27FE4240"/>
    <w:rsid w:val="27FF2D7D"/>
    <w:rsid w:val="280008FF"/>
    <w:rsid w:val="28050D91"/>
    <w:rsid w:val="280A73A7"/>
    <w:rsid w:val="280B0292"/>
    <w:rsid w:val="281035C6"/>
    <w:rsid w:val="28140E2A"/>
    <w:rsid w:val="2824417F"/>
    <w:rsid w:val="28244A33"/>
    <w:rsid w:val="28255041"/>
    <w:rsid w:val="282B1213"/>
    <w:rsid w:val="28377F14"/>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8104BE"/>
    <w:rsid w:val="28821314"/>
    <w:rsid w:val="288C2E20"/>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B682D"/>
    <w:rsid w:val="291C432F"/>
    <w:rsid w:val="291D21EF"/>
    <w:rsid w:val="291F738B"/>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1747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7613D"/>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247B7"/>
    <w:rsid w:val="2AC34F07"/>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65F16"/>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9A134C"/>
    <w:rsid w:val="2BA252E6"/>
    <w:rsid w:val="2BA53554"/>
    <w:rsid w:val="2BA73698"/>
    <w:rsid w:val="2BAC4FE7"/>
    <w:rsid w:val="2BB0363B"/>
    <w:rsid w:val="2BB44220"/>
    <w:rsid w:val="2BB61EA7"/>
    <w:rsid w:val="2BBA6EF5"/>
    <w:rsid w:val="2BBD5502"/>
    <w:rsid w:val="2BBE53B4"/>
    <w:rsid w:val="2BC03979"/>
    <w:rsid w:val="2BC873B9"/>
    <w:rsid w:val="2BC941AF"/>
    <w:rsid w:val="2BCB422E"/>
    <w:rsid w:val="2BCB6ACF"/>
    <w:rsid w:val="2BD01C8D"/>
    <w:rsid w:val="2BD26F37"/>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18CF"/>
    <w:rsid w:val="2C5B6D3D"/>
    <w:rsid w:val="2C5C2032"/>
    <w:rsid w:val="2C5E21B4"/>
    <w:rsid w:val="2C5F0C97"/>
    <w:rsid w:val="2C5F550C"/>
    <w:rsid w:val="2C617E5C"/>
    <w:rsid w:val="2C677A44"/>
    <w:rsid w:val="2C6B4038"/>
    <w:rsid w:val="2C72088D"/>
    <w:rsid w:val="2C7A3BB0"/>
    <w:rsid w:val="2C7A4688"/>
    <w:rsid w:val="2C7B3727"/>
    <w:rsid w:val="2C7D6665"/>
    <w:rsid w:val="2C7E0668"/>
    <w:rsid w:val="2C7E4570"/>
    <w:rsid w:val="2C865A05"/>
    <w:rsid w:val="2C8B0557"/>
    <w:rsid w:val="2C9A28D3"/>
    <w:rsid w:val="2CA37709"/>
    <w:rsid w:val="2CBC4209"/>
    <w:rsid w:val="2CC12D54"/>
    <w:rsid w:val="2CC9742A"/>
    <w:rsid w:val="2CCB3003"/>
    <w:rsid w:val="2CD17849"/>
    <w:rsid w:val="2CD465A8"/>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10212"/>
    <w:rsid w:val="2D306B85"/>
    <w:rsid w:val="2D313196"/>
    <w:rsid w:val="2D323D75"/>
    <w:rsid w:val="2D3C3D7E"/>
    <w:rsid w:val="2D3F06B2"/>
    <w:rsid w:val="2D400A9F"/>
    <w:rsid w:val="2D540857"/>
    <w:rsid w:val="2D590555"/>
    <w:rsid w:val="2D677800"/>
    <w:rsid w:val="2D726428"/>
    <w:rsid w:val="2D770975"/>
    <w:rsid w:val="2D7A06F1"/>
    <w:rsid w:val="2D8151A4"/>
    <w:rsid w:val="2DA02E9C"/>
    <w:rsid w:val="2DA43D8C"/>
    <w:rsid w:val="2DAC4521"/>
    <w:rsid w:val="2DBB1852"/>
    <w:rsid w:val="2DBF0C3E"/>
    <w:rsid w:val="2DBF1601"/>
    <w:rsid w:val="2DBF44A4"/>
    <w:rsid w:val="2DBF4C3A"/>
    <w:rsid w:val="2DC464AC"/>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1D70BD"/>
    <w:rsid w:val="2E2630D7"/>
    <w:rsid w:val="2E2806DD"/>
    <w:rsid w:val="2E2A4425"/>
    <w:rsid w:val="2E2F3046"/>
    <w:rsid w:val="2E302808"/>
    <w:rsid w:val="2E3A3030"/>
    <w:rsid w:val="2E3C084B"/>
    <w:rsid w:val="2E41264C"/>
    <w:rsid w:val="2E46069F"/>
    <w:rsid w:val="2E4B21B3"/>
    <w:rsid w:val="2E553370"/>
    <w:rsid w:val="2E5608F9"/>
    <w:rsid w:val="2E570E04"/>
    <w:rsid w:val="2E59206F"/>
    <w:rsid w:val="2E601EB6"/>
    <w:rsid w:val="2E6626EB"/>
    <w:rsid w:val="2E6703F9"/>
    <w:rsid w:val="2E691A32"/>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477F7"/>
    <w:rsid w:val="2EA72F10"/>
    <w:rsid w:val="2EA74B75"/>
    <w:rsid w:val="2EB61295"/>
    <w:rsid w:val="2EB941A6"/>
    <w:rsid w:val="2EC414ED"/>
    <w:rsid w:val="2EC71A13"/>
    <w:rsid w:val="2EC722DC"/>
    <w:rsid w:val="2EC9437A"/>
    <w:rsid w:val="2EDC714E"/>
    <w:rsid w:val="2EE351E2"/>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972B68"/>
    <w:rsid w:val="2F9F502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12956"/>
    <w:rsid w:val="30AE56DC"/>
    <w:rsid w:val="30B7307E"/>
    <w:rsid w:val="30BB5407"/>
    <w:rsid w:val="30BF034E"/>
    <w:rsid w:val="30C21A0E"/>
    <w:rsid w:val="30C26424"/>
    <w:rsid w:val="30C65287"/>
    <w:rsid w:val="30C83BAA"/>
    <w:rsid w:val="30CA3D76"/>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91C98"/>
    <w:rsid w:val="313A7B85"/>
    <w:rsid w:val="313E22A6"/>
    <w:rsid w:val="31412F85"/>
    <w:rsid w:val="31454E97"/>
    <w:rsid w:val="314A019C"/>
    <w:rsid w:val="314E27D6"/>
    <w:rsid w:val="31514FC5"/>
    <w:rsid w:val="31584385"/>
    <w:rsid w:val="315D7DEC"/>
    <w:rsid w:val="315F2CD0"/>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EE4B36"/>
    <w:rsid w:val="31F20023"/>
    <w:rsid w:val="31F31FF7"/>
    <w:rsid w:val="31F52FE4"/>
    <w:rsid w:val="31F536F7"/>
    <w:rsid w:val="31FA7AEE"/>
    <w:rsid w:val="31FB60C5"/>
    <w:rsid w:val="3209100C"/>
    <w:rsid w:val="320D52C8"/>
    <w:rsid w:val="32117981"/>
    <w:rsid w:val="321E250B"/>
    <w:rsid w:val="32226597"/>
    <w:rsid w:val="322A5516"/>
    <w:rsid w:val="322B6C88"/>
    <w:rsid w:val="322C6DC4"/>
    <w:rsid w:val="3238698E"/>
    <w:rsid w:val="323E5B9E"/>
    <w:rsid w:val="32430FFB"/>
    <w:rsid w:val="324968A9"/>
    <w:rsid w:val="324C11A1"/>
    <w:rsid w:val="324F1DD8"/>
    <w:rsid w:val="32515BC8"/>
    <w:rsid w:val="32530F81"/>
    <w:rsid w:val="32544043"/>
    <w:rsid w:val="32560524"/>
    <w:rsid w:val="325614E5"/>
    <w:rsid w:val="32576A33"/>
    <w:rsid w:val="3259293C"/>
    <w:rsid w:val="325B6F13"/>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A631C"/>
    <w:rsid w:val="32BC6631"/>
    <w:rsid w:val="32C05B65"/>
    <w:rsid w:val="32C30DC7"/>
    <w:rsid w:val="32C6418D"/>
    <w:rsid w:val="32CF3588"/>
    <w:rsid w:val="32D12DAF"/>
    <w:rsid w:val="32D14A7F"/>
    <w:rsid w:val="32D26AE6"/>
    <w:rsid w:val="32D733FA"/>
    <w:rsid w:val="32DE353D"/>
    <w:rsid w:val="32E148E8"/>
    <w:rsid w:val="32E343F6"/>
    <w:rsid w:val="32E921F0"/>
    <w:rsid w:val="32F76D5D"/>
    <w:rsid w:val="32F86450"/>
    <w:rsid w:val="330066D7"/>
    <w:rsid w:val="33015240"/>
    <w:rsid w:val="330244A4"/>
    <w:rsid w:val="3304026E"/>
    <w:rsid w:val="33066388"/>
    <w:rsid w:val="330F1E44"/>
    <w:rsid w:val="331747E7"/>
    <w:rsid w:val="331B37C6"/>
    <w:rsid w:val="331C390F"/>
    <w:rsid w:val="33222F7E"/>
    <w:rsid w:val="333321D1"/>
    <w:rsid w:val="333A0536"/>
    <w:rsid w:val="333E0FE1"/>
    <w:rsid w:val="333F4C47"/>
    <w:rsid w:val="333F6941"/>
    <w:rsid w:val="334D7767"/>
    <w:rsid w:val="33605193"/>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2F41AF"/>
    <w:rsid w:val="34333AFC"/>
    <w:rsid w:val="34343D6C"/>
    <w:rsid w:val="34347DC5"/>
    <w:rsid w:val="34380493"/>
    <w:rsid w:val="34463967"/>
    <w:rsid w:val="344C08D2"/>
    <w:rsid w:val="344F3F83"/>
    <w:rsid w:val="345507E9"/>
    <w:rsid w:val="345543D1"/>
    <w:rsid w:val="34564E8B"/>
    <w:rsid w:val="345A1F55"/>
    <w:rsid w:val="345A7367"/>
    <w:rsid w:val="345D2CD0"/>
    <w:rsid w:val="346C0AEA"/>
    <w:rsid w:val="3473748E"/>
    <w:rsid w:val="347F540F"/>
    <w:rsid w:val="34863322"/>
    <w:rsid w:val="34885DB3"/>
    <w:rsid w:val="348F0ED3"/>
    <w:rsid w:val="348F7A0E"/>
    <w:rsid w:val="34975090"/>
    <w:rsid w:val="349A0B7D"/>
    <w:rsid w:val="349B2A17"/>
    <w:rsid w:val="34A851E8"/>
    <w:rsid w:val="34A92857"/>
    <w:rsid w:val="34A94ADA"/>
    <w:rsid w:val="34A97BFE"/>
    <w:rsid w:val="34B51A96"/>
    <w:rsid w:val="34BF1CD4"/>
    <w:rsid w:val="34C800BD"/>
    <w:rsid w:val="34C936CD"/>
    <w:rsid w:val="34CA25BD"/>
    <w:rsid w:val="34CC1DC7"/>
    <w:rsid w:val="34D47C8A"/>
    <w:rsid w:val="34D874E5"/>
    <w:rsid w:val="34DB0CAC"/>
    <w:rsid w:val="34DD3DF9"/>
    <w:rsid w:val="34E972FC"/>
    <w:rsid w:val="34F83EF3"/>
    <w:rsid w:val="34F952C9"/>
    <w:rsid w:val="34F953E0"/>
    <w:rsid w:val="34FD069C"/>
    <w:rsid w:val="34FF2166"/>
    <w:rsid w:val="3503286C"/>
    <w:rsid w:val="350919E2"/>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155AB"/>
    <w:rsid w:val="354966A2"/>
    <w:rsid w:val="354C7B38"/>
    <w:rsid w:val="354F28B8"/>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16342"/>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D6FFD"/>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26C3"/>
    <w:rsid w:val="369C60C5"/>
    <w:rsid w:val="369E44B4"/>
    <w:rsid w:val="36A312B2"/>
    <w:rsid w:val="36A9265A"/>
    <w:rsid w:val="36A9393B"/>
    <w:rsid w:val="36AA239C"/>
    <w:rsid w:val="36B121C7"/>
    <w:rsid w:val="36B2486C"/>
    <w:rsid w:val="36B307B1"/>
    <w:rsid w:val="36BA14F4"/>
    <w:rsid w:val="36C45C2A"/>
    <w:rsid w:val="36CA6FF3"/>
    <w:rsid w:val="36CB04A2"/>
    <w:rsid w:val="36CB749B"/>
    <w:rsid w:val="36CC521E"/>
    <w:rsid w:val="36D009E5"/>
    <w:rsid w:val="36D27C18"/>
    <w:rsid w:val="36D512A9"/>
    <w:rsid w:val="36D85209"/>
    <w:rsid w:val="36D934D3"/>
    <w:rsid w:val="36D94280"/>
    <w:rsid w:val="36DE2053"/>
    <w:rsid w:val="36E07ED3"/>
    <w:rsid w:val="36E222AF"/>
    <w:rsid w:val="36F03F0E"/>
    <w:rsid w:val="36F414F3"/>
    <w:rsid w:val="36F902E0"/>
    <w:rsid w:val="36FB5611"/>
    <w:rsid w:val="37002C93"/>
    <w:rsid w:val="370974B4"/>
    <w:rsid w:val="37180BA8"/>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D0B20"/>
    <w:rsid w:val="37557969"/>
    <w:rsid w:val="375D4473"/>
    <w:rsid w:val="37615F3C"/>
    <w:rsid w:val="3766140C"/>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B1804"/>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3D293E"/>
    <w:rsid w:val="38463F5F"/>
    <w:rsid w:val="384C2D57"/>
    <w:rsid w:val="38557E21"/>
    <w:rsid w:val="3856501D"/>
    <w:rsid w:val="38590DD6"/>
    <w:rsid w:val="38595EAC"/>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00B77"/>
    <w:rsid w:val="38F50C85"/>
    <w:rsid w:val="38FE1BA9"/>
    <w:rsid w:val="39055331"/>
    <w:rsid w:val="39065A02"/>
    <w:rsid w:val="39092488"/>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6E6CCE"/>
    <w:rsid w:val="3973175F"/>
    <w:rsid w:val="39762B94"/>
    <w:rsid w:val="397E700C"/>
    <w:rsid w:val="39834074"/>
    <w:rsid w:val="39885108"/>
    <w:rsid w:val="398A2308"/>
    <w:rsid w:val="398A489E"/>
    <w:rsid w:val="398B0DB3"/>
    <w:rsid w:val="398C50FD"/>
    <w:rsid w:val="39907940"/>
    <w:rsid w:val="399602F5"/>
    <w:rsid w:val="399B5B0D"/>
    <w:rsid w:val="39A05979"/>
    <w:rsid w:val="39A90F14"/>
    <w:rsid w:val="39A95ACD"/>
    <w:rsid w:val="39AB5689"/>
    <w:rsid w:val="39B747A8"/>
    <w:rsid w:val="39BB78F7"/>
    <w:rsid w:val="39BC428E"/>
    <w:rsid w:val="39BF2BB7"/>
    <w:rsid w:val="39C46549"/>
    <w:rsid w:val="39CA1A60"/>
    <w:rsid w:val="39D3749A"/>
    <w:rsid w:val="39D5434E"/>
    <w:rsid w:val="39D55A2B"/>
    <w:rsid w:val="39D7557D"/>
    <w:rsid w:val="39DA738E"/>
    <w:rsid w:val="39DC3D4A"/>
    <w:rsid w:val="39DD49C2"/>
    <w:rsid w:val="39DD4ACE"/>
    <w:rsid w:val="39DD7385"/>
    <w:rsid w:val="39E02BA8"/>
    <w:rsid w:val="39E105DB"/>
    <w:rsid w:val="39E64DFB"/>
    <w:rsid w:val="39E70CEA"/>
    <w:rsid w:val="39E9070B"/>
    <w:rsid w:val="39EC7454"/>
    <w:rsid w:val="39F07D03"/>
    <w:rsid w:val="39F17193"/>
    <w:rsid w:val="39FD2FB3"/>
    <w:rsid w:val="3A026596"/>
    <w:rsid w:val="3A082ABE"/>
    <w:rsid w:val="3A0A6393"/>
    <w:rsid w:val="3A0E18F6"/>
    <w:rsid w:val="3A0E766B"/>
    <w:rsid w:val="3A181AC2"/>
    <w:rsid w:val="3A1A155D"/>
    <w:rsid w:val="3A1A5D0A"/>
    <w:rsid w:val="3A237175"/>
    <w:rsid w:val="3A264A9F"/>
    <w:rsid w:val="3A2B2AA6"/>
    <w:rsid w:val="3A2E67B0"/>
    <w:rsid w:val="3A2F3AA2"/>
    <w:rsid w:val="3A3D5DAF"/>
    <w:rsid w:val="3A443D4B"/>
    <w:rsid w:val="3A475FA8"/>
    <w:rsid w:val="3A543180"/>
    <w:rsid w:val="3A59104E"/>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3B6D13"/>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D7397"/>
    <w:rsid w:val="3C4F7D80"/>
    <w:rsid w:val="3C5475AD"/>
    <w:rsid w:val="3C591787"/>
    <w:rsid w:val="3C5A5888"/>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C4D4D"/>
    <w:rsid w:val="3CCE0448"/>
    <w:rsid w:val="3CD71E34"/>
    <w:rsid w:val="3CD93A3D"/>
    <w:rsid w:val="3CDB5D82"/>
    <w:rsid w:val="3CDE394C"/>
    <w:rsid w:val="3CDE5994"/>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A3F09"/>
    <w:rsid w:val="3DCD6921"/>
    <w:rsid w:val="3DD67156"/>
    <w:rsid w:val="3DD745F2"/>
    <w:rsid w:val="3DE04FCE"/>
    <w:rsid w:val="3DE37514"/>
    <w:rsid w:val="3DE548AC"/>
    <w:rsid w:val="3DE653F8"/>
    <w:rsid w:val="3DE72673"/>
    <w:rsid w:val="3DEB1255"/>
    <w:rsid w:val="3DEE1FBE"/>
    <w:rsid w:val="3DEE62E8"/>
    <w:rsid w:val="3DF65F7A"/>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652EA"/>
    <w:rsid w:val="3F144192"/>
    <w:rsid w:val="3F1871A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80293"/>
    <w:rsid w:val="3FBB4BEF"/>
    <w:rsid w:val="3FBE30B8"/>
    <w:rsid w:val="3FC044DE"/>
    <w:rsid w:val="3FCF604C"/>
    <w:rsid w:val="3FD210AC"/>
    <w:rsid w:val="3FD53CFE"/>
    <w:rsid w:val="3FD9316A"/>
    <w:rsid w:val="3FE1096B"/>
    <w:rsid w:val="3FE210C1"/>
    <w:rsid w:val="3FE9250A"/>
    <w:rsid w:val="3FEB1C22"/>
    <w:rsid w:val="3FEE2117"/>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1C24"/>
    <w:rsid w:val="416C15E7"/>
    <w:rsid w:val="416E039C"/>
    <w:rsid w:val="416E1B43"/>
    <w:rsid w:val="41753FA5"/>
    <w:rsid w:val="417727AB"/>
    <w:rsid w:val="417F7393"/>
    <w:rsid w:val="41800377"/>
    <w:rsid w:val="41804025"/>
    <w:rsid w:val="41835B7D"/>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10932"/>
    <w:rsid w:val="4324632E"/>
    <w:rsid w:val="432466AA"/>
    <w:rsid w:val="432B0FC9"/>
    <w:rsid w:val="432E5E21"/>
    <w:rsid w:val="432F4EDA"/>
    <w:rsid w:val="4334749B"/>
    <w:rsid w:val="433C41B8"/>
    <w:rsid w:val="433D2335"/>
    <w:rsid w:val="433F57C3"/>
    <w:rsid w:val="43426A44"/>
    <w:rsid w:val="434660C5"/>
    <w:rsid w:val="434807F2"/>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AD114D"/>
    <w:rsid w:val="43B27D9E"/>
    <w:rsid w:val="43B329A6"/>
    <w:rsid w:val="43BE3F55"/>
    <w:rsid w:val="43C0281C"/>
    <w:rsid w:val="43C02B26"/>
    <w:rsid w:val="43C91C5B"/>
    <w:rsid w:val="43D10A40"/>
    <w:rsid w:val="43D67A91"/>
    <w:rsid w:val="43E11D10"/>
    <w:rsid w:val="43E21F58"/>
    <w:rsid w:val="43E35EF0"/>
    <w:rsid w:val="43F20061"/>
    <w:rsid w:val="43F60FCB"/>
    <w:rsid w:val="43F71BCF"/>
    <w:rsid w:val="43F76F69"/>
    <w:rsid w:val="43F90FED"/>
    <w:rsid w:val="43F9776B"/>
    <w:rsid w:val="43FC0DB2"/>
    <w:rsid w:val="44051440"/>
    <w:rsid w:val="44095B4D"/>
    <w:rsid w:val="440C5D56"/>
    <w:rsid w:val="440D13E0"/>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4F8400C"/>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1CB5"/>
    <w:rsid w:val="45B64B84"/>
    <w:rsid w:val="45BA6033"/>
    <w:rsid w:val="45C85EA2"/>
    <w:rsid w:val="45CD3F9B"/>
    <w:rsid w:val="45D23596"/>
    <w:rsid w:val="45D9022E"/>
    <w:rsid w:val="45E01AC8"/>
    <w:rsid w:val="45E3021B"/>
    <w:rsid w:val="45E37678"/>
    <w:rsid w:val="45E526A6"/>
    <w:rsid w:val="45E56E31"/>
    <w:rsid w:val="45E66893"/>
    <w:rsid w:val="45E826B2"/>
    <w:rsid w:val="45F4334C"/>
    <w:rsid w:val="460D3781"/>
    <w:rsid w:val="461B1A6F"/>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BF7A67"/>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51654"/>
    <w:rsid w:val="4735743C"/>
    <w:rsid w:val="473D0BD8"/>
    <w:rsid w:val="47457188"/>
    <w:rsid w:val="47502F2C"/>
    <w:rsid w:val="47561DDC"/>
    <w:rsid w:val="47592D4E"/>
    <w:rsid w:val="47644CFB"/>
    <w:rsid w:val="47666951"/>
    <w:rsid w:val="47683159"/>
    <w:rsid w:val="476A7D07"/>
    <w:rsid w:val="477F2C09"/>
    <w:rsid w:val="478046DF"/>
    <w:rsid w:val="479766B4"/>
    <w:rsid w:val="479A2857"/>
    <w:rsid w:val="479A401E"/>
    <w:rsid w:val="479A472B"/>
    <w:rsid w:val="479D7800"/>
    <w:rsid w:val="479F10F2"/>
    <w:rsid w:val="47A240A4"/>
    <w:rsid w:val="47A60277"/>
    <w:rsid w:val="47A61856"/>
    <w:rsid w:val="47A83BFD"/>
    <w:rsid w:val="47AA1593"/>
    <w:rsid w:val="47B44BED"/>
    <w:rsid w:val="47B77348"/>
    <w:rsid w:val="47BC3466"/>
    <w:rsid w:val="47BF551B"/>
    <w:rsid w:val="47BF5FB3"/>
    <w:rsid w:val="47D730B6"/>
    <w:rsid w:val="47DD6490"/>
    <w:rsid w:val="47DD6A91"/>
    <w:rsid w:val="47E62C82"/>
    <w:rsid w:val="47E9396D"/>
    <w:rsid w:val="47EB0853"/>
    <w:rsid w:val="47EB5BFA"/>
    <w:rsid w:val="47F46D42"/>
    <w:rsid w:val="47FA20F9"/>
    <w:rsid w:val="47FF3A74"/>
    <w:rsid w:val="48041F1C"/>
    <w:rsid w:val="480B1862"/>
    <w:rsid w:val="480B7A59"/>
    <w:rsid w:val="480F1D9B"/>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06C5C"/>
    <w:rsid w:val="4864535D"/>
    <w:rsid w:val="48664A02"/>
    <w:rsid w:val="4869579D"/>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47AF2"/>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517F7"/>
    <w:rsid w:val="49075A63"/>
    <w:rsid w:val="490933FA"/>
    <w:rsid w:val="490A4D2F"/>
    <w:rsid w:val="490A64AF"/>
    <w:rsid w:val="490B41C9"/>
    <w:rsid w:val="49111AA9"/>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3054B"/>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95EF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C20C6C"/>
    <w:rsid w:val="49C76AE6"/>
    <w:rsid w:val="49CE0C89"/>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469D0"/>
    <w:rsid w:val="4AC66331"/>
    <w:rsid w:val="4AC860DD"/>
    <w:rsid w:val="4AD162A8"/>
    <w:rsid w:val="4AD25C89"/>
    <w:rsid w:val="4AD768C6"/>
    <w:rsid w:val="4AE0796F"/>
    <w:rsid w:val="4AE30444"/>
    <w:rsid w:val="4AE31B85"/>
    <w:rsid w:val="4AE44D84"/>
    <w:rsid w:val="4AEF0F11"/>
    <w:rsid w:val="4AF902F5"/>
    <w:rsid w:val="4AF94D42"/>
    <w:rsid w:val="4B0107DC"/>
    <w:rsid w:val="4B020D4E"/>
    <w:rsid w:val="4B021266"/>
    <w:rsid w:val="4B081F1A"/>
    <w:rsid w:val="4B0A119A"/>
    <w:rsid w:val="4B0D6C0E"/>
    <w:rsid w:val="4B183767"/>
    <w:rsid w:val="4B1914EF"/>
    <w:rsid w:val="4B1C66E8"/>
    <w:rsid w:val="4B205D7D"/>
    <w:rsid w:val="4B28587C"/>
    <w:rsid w:val="4B292683"/>
    <w:rsid w:val="4B294C7C"/>
    <w:rsid w:val="4B2D27F0"/>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412C4"/>
    <w:rsid w:val="4BA72908"/>
    <w:rsid w:val="4BAC76E4"/>
    <w:rsid w:val="4BAD4CA2"/>
    <w:rsid w:val="4BB42604"/>
    <w:rsid w:val="4BB548C0"/>
    <w:rsid w:val="4BB5799E"/>
    <w:rsid w:val="4BBD6286"/>
    <w:rsid w:val="4BBE0B8F"/>
    <w:rsid w:val="4BC456EF"/>
    <w:rsid w:val="4BC647B0"/>
    <w:rsid w:val="4BCB1BAE"/>
    <w:rsid w:val="4BD94F2A"/>
    <w:rsid w:val="4BDF4B49"/>
    <w:rsid w:val="4BE57E16"/>
    <w:rsid w:val="4BE819D0"/>
    <w:rsid w:val="4BE8649D"/>
    <w:rsid w:val="4BFC6FFD"/>
    <w:rsid w:val="4C001A94"/>
    <w:rsid w:val="4C0107B1"/>
    <w:rsid w:val="4C0236B4"/>
    <w:rsid w:val="4C050EAC"/>
    <w:rsid w:val="4C090181"/>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21ECD"/>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AE158F"/>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6D7"/>
    <w:rsid w:val="4CF26BC3"/>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E4702"/>
    <w:rsid w:val="4D8814DC"/>
    <w:rsid w:val="4D8A3FFF"/>
    <w:rsid w:val="4D8A58C0"/>
    <w:rsid w:val="4D8C30A0"/>
    <w:rsid w:val="4D8D11C1"/>
    <w:rsid w:val="4D922BF5"/>
    <w:rsid w:val="4D9B5A29"/>
    <w:rsid w:val="4D9E1AAF"/>
    <w:rsid w:val="4DA53BC8"/>
    <w:rsid w:val="4DB056F4"/>
    <w:rsid w:val="4DB41824"/>
    <w:rsid w:val="4DB95A69"/>
    <w:rsid w:val="4DBD1F3A"/>
    <w:rsid w:val="4DBD526D"/>
    <w:rsid w:val="4DC31B92"/>
    <w:rsid w:val="4DC46900"/>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B4BE4"/>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D3DB0"/>
    <w:rsid w:val="5052029B"/>
    <w:rsid w:val="505F1426"/>
    <w:rsid w:val="506309DB"/>
    <w:rsid w:val="506762BF"/>
    <w:rsid w:val="50752AF6"/>
    <w:rsid w:val="50771C00"/>
    <w:rsid w:val="507B5688"/>
    <w:rsid w:val="508A668E"/>
    <w:rsid w:val="50915F48"/>
    <w:rsid w:val="509A3231"/>
    <w:rsid w:val="509C109E"/>
    <w:rsid w:val="509C736A"/>
    <w:rsid w:val="50A15412"/>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95758"/>
    <w:rsid w:val="50D228CF"/>
    <w:rsid w:val="50E63519"/>
    <w:rsid w:val="50ED76FB"/>
    <w:rsid w:val="50F568D9"/>
    <w:rsid w:val="50FD2A03"/>
    <w:rsid w:val="510D4A1E"/>
    <w:rsid w:val="51184E6D"/>
    <w:rsid w:val="51187610"/>
    <w:rsid w:val="511C491F"/>
    <w:rsid w:val="51234937"/>
    <w:rsid w:val="512A692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B228D"/>
    <w:rsid w:val="519D2F03"/>
    <w:rsid w:val="51A2297C"/>
    <w:rsid w:val="51AA27FB"/>
    <w:rsid w:val="51AB0562"/>
    <w:rsid w:val="51AD6F40"/>
    <w:rsid w:val="51AE5103"/>
    <w:rsid w:val="51AE5AD5"/>
    <w:rsid w:val="51B84B91"/>
    <w:rsid w:val="51BE2EAE"/>
    <w:rsid w:val="51C0716E"/>
    <w:rsid w:val="51C24631"/>
    <w:rsid w:val="51D42177"/>
    <w:rsid w:val="51D43598"/>
    <w:rsid w:val="51D577CE"/>
    <w:rsid w:val="51DA51E8"/>
    <w:rsid w:val="51DA5890"/>
    <w:rsid w:val="51E90CD5"/>
    <w:rsid w:val="51EE7B3E"/>
    <w:rsid w:val="51F51BD1"/>
    <w:rsid w:val="51F96848"/>
    <w:rsid w:val="51FB40B5"/>
    <w:rsid w:val="52073487"/>
    <w:rsid w:val="520858AE"/>
    <w:rsid w:val="520A7B89"/>
    <w:rsid w:val="520E648E"/>
    <w:rsid w:val="521C5D43"/>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A1A2F"/>
    <w:rsid w:val="526A546C"/>
    <w:rsid w:val="52790FD9"/>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532A"/>
    <w:rsid w:val="53207ABD"/>
    <w:rsid w:val="53264D3B"/>
    <w:rsid w:val="53290BFD"/>
    <w:rsid w:val="53293966"/>
    <w:rsid w:val="532B3E9B"/>
    <w:rsid w:val="532C389F"/>
    <w:rsid w:val="532D753B"/>
    <w:rsid w:val="532F6301"/>
    <w:rsid w:val="533E0346"/>
    <w:rsid w:val="534246C3"/>
    <w:rsid w:val="53477D18"/>
    <w:rsid w:val="53486233"/>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C2007"/>
    <w:rsid w:val="541F38E3"/>
    <w:rsid w:val="542A1803"/>
    <w:rsid w:val="542A3FEF"/>
    <w:rsid w:val="542A5504"/>
    <w:rsid w:val="542D153F"/>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17F6D"/>
    <w:rsid w:val="54D81BD6"/>
    <w:rsid w:val="54DF688B"/>
    <w:rsid w:val="54E85E2E"/>
    <w:rsid w:val="54E95643"/>
    <w:rsid w:val="54ED7E47"/>
    <w:rsid w:val="550E6C32"/>
    <w:rsid w:val="551C2E90"/>
    <w:rsid w:val="552D52C7"/>
    <w:rsid w:val="55397CF2"/>
    <w:rsid w:val="5546565D"/>
    <w:rsid w:val="554B0B92"/>
    <w:rsid w:val="554E0863"/>
    <w:rsid w:val="555737A6"/>
    <w:rsid w:val="55577AFF"/>
    <w:rsid w:val="55597711"/>
    <w:rsid w:val="55611FED"/>
    <w:rsid w:val="556C1CC4"/>
    <w:rsid w:val="556E620B"/>
    <w:rsid w:val="55712540"/>
    <w:rsid w:val="55731953"/>
    <w:rsid w:val="55743D64"/>
    <w:rsid w:val="55746043"/>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2170"/>
    <w:rsid w:val="55F37542"/>
    <w:rsid w:val="55FE6BCF"/>
    <w:rsid w:val="56017EDE"/>
    <w:rsid w:val="56027E43"/>
    <w:rsid w:val="56030BD3"/>
    <w:rsid w:val="560469FC"/>
    <w:rsid w:val="5609174E"/>
    <w:rsid w:val="561036D3"/>
    <w:rsid w:val="561B57AD"/>
    <w:rsid w:val="561D5255"/>
    <w:rsid w:val="5621112A"/>
    <w:rsid w:val="56214A7B"/>
    <w:rsid w:val="562E1F90"/>
    <w:rsid w:val="56334D5A"/>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E391C"/>
    <w:rsid w:val="571F270E"/>
    <w:rsid w:val="57284B98"/>
    <w:rsid w:val="57292292"/>
    <w:rsid w:val="572E4793"/>
    <w:rsid w:val="572E7E52"/>
    <w:rsid w:val="57315E6B"/>
    <w:rsid w:val="5733219C"/>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4266A"/>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233BC"/>
    <w:rsid w:val="58F57D12"/>
    <w:rsid w:val="59094784"/>
    <w:rsid w:val="59255E05"/>
    <w:rsid w:val="59267EF0"/>
    <w:rsid w:val="59287A6A"/>
    <w:rsid w:val="592C2EB2"/>
    <w:rsid w:val="59376E4C"/>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0095D"/>
    <w:rsid w:val="59A22883"/>
    <w:rsid w:val="59A24ED6"/>
    <w:rsid w:val="59AF0514"/>
    <w:rsid w:val="59B6531E"/>
    <w:rsid w:val="59B75E8A"/>
    <w:rsid w:val="59B8561E"/>
    <w:rsid w:val="59BC0F73"/>
    <w:rsid w:val="59BD2911"/>
    <w:rsid w:val="59BE1CC3"/>
    <w:rsid w:val="59C13A26"/>
    <w:rsid w:val="59C23D49"/>
    <w:rsid w:val="59C91BF3"/>
    <w:rsid w:val="59C96755"/>
    <w:rsid w:val="59CB73DC"/>
    <w:rsid w:val="59D02E4C"/>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00894"/>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6EBD"/>
    <w:rsid w:val="5BBE6EBD"/>
    <w:rsid w:val="5BC02787"/>
    <w:rsid w:val="5BC52B9A"/>
    <w:rsid w:val="5BCD45FD"/>
    <w:rsid w:val="5BCD6158"/>
    <w:rsid w:val="5BD31F2C"/>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2D7BB4"/>
    <w:rsid w:val="5C3B2DCF"/>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E539D"/>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D00730C"/>
    <w:rsid w:val="5D072BC8"/>
    <w:rsid w:val="5D076525"/>
    <w:rsid w:val="5D0A3A75"/>
    <w:rsid w:val="5D0C1CFA"/>
    <w:rsid w:val="5D110CBF"/>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7F0D53"/>
    <w:rsid w:val="5D820C77"/>
    <w:rsid w:val="5D826C13"/>
    <w:rsid w:val="5D8428C5"/>
    <w:rsid w:val="5D845B5A"/>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C3F46"/>
    <w:rsid w:val="5DED4540"/>
    <w:rsid w:val="5E00720B"/>
    <w:rsid w:val="5E012896"/>
    <w:rsid w:val="5E0825B2"/>
    <w:rsid w:val="5E0A6049"/>
    <w:rsid w:val="5E0F63FB"/>
    <w:rsid w:val="5E156B70"/>
    <w:rsid w:val="5E1574AD"/>
    <w:rsid w:val="5E1E0D81"/>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455B5"/>
    <w:rsid w:val="5ED95EEE"/>
    <w:rsid w:val="5EE36FBA"/>
    <w:rsid w:val="5EE55DDE"/>
    <w:rsid w:val="5EF04AC4"/>
    <w:rsid w:val="5EF47473"/>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64071"/>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26FA3"/>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11A3C"/>
    <w:rsid w:val="61A4486B"/>
    <w:rsid w:val="61B33DDF"/>
    <w:rsid w:val="61BB4A1B"/>
    <w:rsid w:val="61BB5A23"/>
    <w:rsid w:val="61BB7737"/>
    <w:rsid w:val="61BC23E5"/>
    <w:rsid w:val="61C051B3"/>
    <w:rsid w:val="61C67CD5"/>
    <w:rsid w:val="61CD3107"/>
    <w:rsid w:val="61D17319"/>
    <w:rsid w:val="61D21120"/>
    <w:rsid w:val="61D64F2E"/>
    <w:rsid w:val="61D75E5D"/>
    <w:rsid w:val="61DA4544"/>
    <w:rsid w:val="61E728F9"/>
    <w:rsid w:val="61F3667F"/>
    <w:rsid w:val="61F43F82"/>
    <w:rsid w:val="61F67369"/>
    <w:rsid w:val="61FB110C"/>
    <w:rsid w:val="61FB56BF"/>
    <w:rsid w:val="61FD0A2A"/>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02260"/>
    <w:rsid w:val="627301E8"/>
    <w:rsid w:val="627369C7"/>
    <w:rsid w:val="627E026E"/>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B49A1"/>
    <w:rsid w:val="62D11C3F"/>
    <w:rsid w:val="62D35D1C"/>
    <w:rsid w:val="62D6745D"/>
    <w:rsid w:val="62D67D61"/>
    <w:rsid w:val="62D777AF"/>
    <w:rsid w:val="62E157FC"/>
    <w:rsid w:val="62E81148"/>
    <w:rsid w:val="62E83A0D"/>
    <w:rsid w:val="62F76986"/>
    <w:rsid w:val="62FA3D7F"/>
    <w:rsid w:val="62FB7CD6"/>
    <w:rsid w:val="62FF21FD"/>
    <w:rsid w:val="63074CE8"/>
    <w:rsid w:val="631138B2"/>
    <w:rsid w:val="631360BB"/>
    <w:rsid w:val="63195F7A"/>
    <w:rsid w:val="631C3A36"/>
    <w:rsid w:val="631F257B"/>
    <w:rsid w:val="63212420"/>
    <w:rsid w:val="63214DAF"/>
    <w:rsid w:val="632528E5"/>
    <w:rsid w:val="632548A2"/>
    <w:rsid w:val="632936A9"/>
    <w:rsid w:val="632B796E"/>
    <w:rsid w:val="632D6DAA"/>
    <w:rsid w:val="632E0749"/>
    <w:rsid w:val="632F06D8"/>
    <w:rsid w:val="63311536"/>
    <w:rsid w:val="63317698"/>
    <w:rsid w:val="63340EAE"/>
    <w:rsid w:val="63403F5C"/>
    <w:rsid w:val="634331FC"/>
    <w:rsid w:val="63442359"/>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9C5CE1"/>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04937"/>
    <w:rsid w:val="63E263F4"/>
    <w:rsid w:val="63E418C9"/>
    <w:rsid w:val="63EC02FC"/>
    <w:rsid w:val="63F55755"/>
    <w:rsid w:val="63FB6EC6"/>
    <w:rsid w:val="63FD7654"/>
    <w:rsid w:val="640A7217"/>
    <w:rsid w:val="640C2BB6"/>
    <w:rsid w:val="6411454E"/>
    <w:rsid w:val="64225C1C"/>
    <w:rsid w:val="642437E9"/>
    <w:rsid w:val="64323DAD"/>
    <w:rsid w:val="64340FCD"/>
    <w:rsid w:val="64377182"/>
    <w:rsid w:val="643F3FFC"/>
    <w:rsid w:val="64485E79"/>
    <w:rsid w:val="644A69BC"/>
    <w:rsid w:val="644C372C"/>
    <w:rsid w:val="64521327"/>
    <w:rsid w:val="645256C0"/>
    <w:rsid w:val="645B5DC0"/>
    <w:rsid w:val="645D3A6B"/>
    <w:rsid w:val="64613F6F"/>
    <w:rsid w:val="646310B8"/>
    <w:rsid w:val="646A06E2"/>
    <w:rsid w:val="646C4EF1"/>
    <w:rsid w:val="646C4FB8"/>
    <w:rsid w:val="646D2F37"/>
    <w:rsid w:val="646E5E05"/>
    <w:rsid w:val="64706C6F"/>
    <w:rsid w:val="6471159B"/>
    <w:rsid w:val="647811BC"/>
    <w:rsid w:val="64814078"/>
    <w:rsid w:val="648B777B"/>
    <w:rsid w:val="64937D17"/>
    <w:rsid w:val="6494650D"/>
    <w:rsid w:val="64984C13"/>
    <w:rsid w:val="649A6134"/>
    <w:rsid w:val="649D2569"/>
    <w:rsid w:val="64A157DA"/>
    <w:rsid w:val="64A32650"/>
    <w:rsid w:val="64A51362"/>
    <w:rsid w:val="64A5151D"/>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543E"/>
    <w:rsid w:val="64E76F6D"/>
    <w:rsid w:val="64EA4517"/>
    <w:rsid w:val="64FC561C"/>
    <w:rsid w:val="64FC687A"/>
    <w:rsid w:val="64FE0E31"/>
    <w:rsid w:val="650270B1"/>
    <w:rsid w:val="650F5743"/>
    <w:rsid w:val="65124A41"/>
    <w:rsid w:val="65181463"/>
    <w:rsid w:val="651A5C6A"/>
    <w:rsid w:val="651C38DB"/>
    <w:rsid w:val="65201F4F"/>
    <w:rsid w:val="65204394"/>
    <w:rsid w:val="652133D2"/>
    <w:rsid w:val="6522790C"/>
    <w:rsid w:val="652A11D7"/>
    <w:rsid w:val="652C76EF"/>
    <w:rsid w:val="652D6A57"/>
    <w:rsid w:val="65330BDD"/>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70C4A"/>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33B99"/>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5A5DE1"/>
    <w:rsid w:val="696F3842"/>
    <w:rsid w:val="69731101"/>
    <w:rsid w:val="6974083C"/>
    <w:rsid w:val="697D087B"/>
    <w:rsid w:val="69807B1E"/>
    <w:rsid w:val="698D012C"/>
    <w:rsid w:val="69992E3D"/>
    <w:rsid w:val="699A7E83"/>
    <w:rsid w:val="69A71B52"/>
    <w:rsid w:val="69A7770D"/>
    <w:rsid w:val="69A966F8"/>
    <w:rsid w:val="69AC0B64"/>
    <w:rsid w:val="69B27491"/>
    <w:rsid w:val="69B27C94"/>
    <w:rsid w:val="69BA2288"/>
    <w:rsid w:val="69BA3FF5"/>
    <w:rsid w:val="69BB7CE2"/>
    <w:rsid w:val="69BE1292"/>
    <w:rsid w:val="69BF343C"/>
    <w:rsid w:val="69CC32A0"/>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D6C0D"/>
    <w:rsid w:val="6ABE4FFD"/>
    <w:rsid w:val="6ACC352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1F3EE9"/>
    <w:rsid w:val="6B21318E"/>
    <w:rsid w:val="6B227A15"/>
    <w:rsid w:val="6B2833E7"/>
    <w:rsid w:val="6B285741"/>
    <w:rsid w:val="6B340EF1"/>
    <w:rsid w:val="6B3D06AC"/>
    <w:rsid w:val="6B444BB7"/>
    <w:rsid w:val="6B44598B"/>
    <w:rsid w:val="6B447945"/>
    <w:rsid w:val="6B472052"/>
    <w:rsid w:val="6B4B2C3B"/>
    <w:rsid w:val="6B4E3176"/>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16E6"/>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025F0"/>
    <w:rsid w:val="6D033EFD"/>
    <w:rsid w:val="6D06243B"/>
    <w:rsid w:val="6D0652BF"/>
    <w:rsid w:val="6D0A7734"/>
    <w:rsid w:val="6D0B0E35"/>
    <w:rsid w:val="6D0D6D19"/>
    <w:rsid w:val="6D0D75B0"/>
    <w:rsid w:val="6D213292"/>
    <w:rsid w:val="6D22461C"/>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E64E8"/>
    <w:rsid w:val="6D621A21"/>
    <w:rsid w:val="6D652ED0"/>
    <w:rsid w:val="6D662717"/>
    <w:rsid w:val="6D663299"/>
    <w:rsid w:val="6D6D261E"/>
    <w:rsid w:val="6D770FC8"/>
    <w:rsid w:val="6D790A31"/>
    <w:rsid w:val="6D7D5646"/>
    <w:rsid w:val="6D7D69B3"/>
    <w:rsid w:val="6D7E7B1A"/>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80D6D"/>
    <w:rsid w:val="6EE939F2"/>
    <w:rsid w:val="6EF22C5A"/>
    <w:rsid w:val="6F021829"/>
    <w:rsid w:val="6F08724A"/>
    <w:rsid w:val="6F14289F"/>
    <w:rsid w:val="6F153E64"/>
    <w:rsid w:val="6F162C84"/>
    <w:rsid w:val="6F263789"/>
    <w:rsid w:val="6F28474F"/>
    <w:rsid w:val="6F350882"/>
    <w:rsid w:val="6F35635E"/>
    <w:rsid w:val="6F3713E9"/>
    <w:rsid w:val="6F383507"/>
    <w:rsid w:val="6F384951"/>
    <w:rsid w:val="6F447F07"/>
    <w:rsid w:val="6F4876AF"/>
    <w:rsid w:val="6F537FC0"/>
    <w:rsid w:val="6F5E3CAA"/>
    <w:rsid w:val="6F607895"/>
    <w:rsid w:val="6F61040C"/>
    <w:rsid w:val="6F6776E1"/>
    <w:rsid w:val="6F702CF5"/>
    <w:rsid w:val="6F714EFF"/>
    <w:rsid w:val="6F7A0C79"/>
    <w:rsid w:val="6F7E1B78"/>
    <w:rsid w:val="6F8D7897"/>
    <w:rsid w:val="6F931259"/>
    <w:rsid w:val="6F9A4660"/>
    <w:rsid w:val="6F9C5D71"/>
    <w:rsid w:val="6FA3781E"/>
    <w:rsid w:val="6FA9586A"/>
    <w:rsid w:val="6FAC61CF"/>
    <w:rsid w:val="6FAD768A"/>
    <w:rsid w:val="6FAD7F35"/>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A6C96"/>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94AF1"/>
    <w:rsid w:val="704A6916"/>
    <w:rsid w:val="7054528E"/>
    <w:rsid w:val="70555B90"/>
    <w:rsid w:val="705E76BE"/>
    <w:rsid w:val="70680AC8"/>
    <w:rsid w:val="70684400"/>
    <w:rsid w:val="706D51B8"/>
    <w:rsid w:val="706E4EB9"/>
    <w:rsid w:val="70712877"/>
    <w:rsid w:val="70737F32"/>
    <w:rsid w:val="70767F2C"/>
    <w:rsid w:val="70785A86"/>
    <w:rsid w:val="707E62BB"/>
    <w:rsid w:val="708A1067"/>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2762EB"/>
    <w:rsid w:val="712D2ADB"/>
    <w:rsid w:val="712D4159"/>
    <w:rsid w:val="71346346"/>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7B6263"/>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50FA6"/>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E7E80"/>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34969"/>
    <w:rsid w:val="7235246C"/>
    <w:rsid w:val="723749D7"/>
    <w:rsid w:val="723908BB"/>
    <w:rsid w:val="7240223C"/>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2FD2105"/>
    <w:rsid w:val="730235EB"/>
    <w:rsid w:val="730247A7"/>
    <w:rsid w:val="7302733B"/>
    <w:rsid w:val="73036270"/>
    <w:rsid w:val="730469F7"/>
    <w:rsid w:val="73134A36"/>
    <w:rsid w:val="731649D2"/>
    <w:rsid w:val="731C28E7"/>
    <w:rsid w:val="731F2440"/>
    <w:rsid w:val="7320175D"/>
    <w:rsid w:val="73222906"/>
    <w:rsid w:val="73254DFB"/>
    <w:rsid w:val="7326097A"/>
    <w:rsid w:val="73267BB8"/>
    <w:rsid w:val="732A4A9B"/>
    <w:rsid w:val="733202B6"/>
    <w:rsid w:val="73323775"/>
    <w:rsid w:val="73343997"/>
    <w:rsid w:val="73370B0A"/>
    <w:rsid w:val="733C723A"/>
    <w:rsid w:val="733C7C6A"/>
    <w:rsid w:val="73425DF8"/>
    <w:rsid w:val="73456FA9"/>
    <w:rsid w:val="734E1729"/>
    <w:rsid w:val="73510529"/>
    <w:rsid w:val="73526138"/>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81646"/>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5C158A"/>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1F5D7B"/>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31525"/>
    <w:rsid w:val="77A47BCA"/>
    <w:rsid w:val="77A75021"/>
    <w:rsid w:val="77B4796D"/>
    <w:rsid w:val="77B8689C"/>
    <w:rsid w:val="77B87D6C"/>
    <w:rsid w:val="77BD5A24"/>
    <w:rsid w:val="77C2510C"/>
    <w:rsid w:val="77C833A2"/>
    <w:rsid w:val="77D21E05"/>
    <w:rsid w:val="77D26B27"/>
    <w:rsid w:val="77E568E3"/>
    <w:rsid w:val="77E746B2"/>
    <w:rsid w:val="77EE19D2"/>
    <w:rsid w:val="77EF4577"/>
    <w:rsid w:val="77F62755"/>
    <w:rsid w:val="77F62779"/>
    <w:rsid w:val="77F92249"/>
    <w:rsid w:val="78036043"/>
    <w:rsid w:val="780F6CAF"/>
    <w:rsid w:val="780F6F82"/>
    <w:rsid w:val="781164D0"/>
    <w:rsid w:val="7813374F"/>
    <w:rsid w:val="781838FF"/>
    <w:rsid w:val="781A21DD"/>
    <w:rsid w:val="781B3886"/>
    <w:rsid w:val="782466AD"/>
    <w:rsid w:val="782A738E"/>
    <w:rsid w:val="782B6927"/>
    <w:rsid w:val="78306028"/>
    <w:rsid w:val="78316382"/>
    <w:rsid w:val="783354A3"/>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A644E"/>
    <w:rsid w:val="78BC539D"/>
    <w:rsid w:val="78BE6326"/>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15591"/>
    <w:rsid w:val="798C57FA"/>
    <w:rsid w:val="798E4989"/>
    <w:rsid w:val="7990174F"/>
    <w:rsid w:val="799537B4"/>
    <w:rsid w:val="799A4E91"/>
    <w:rsid w:val="799C50CF"/>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3E4EB8"/>
    <w:rsid w:val="7A4006D3"/>
    <w:rsid w:val="7A4801BB"/>
    <w:rsid w:val="7A485CE1"/>
    <w:rsid w:val="7A491EF3"/>
    <w:rsid w:val="7A4D07BA"/>
    <w:rsid w:val="7A5863D3"/>
    <w:rsid w:val="7A5C5FAF"/>
    <w:rsid w:val="7A634604"/>
    <w:rsid w:val="7A64499E"/>
    <w:rsid w:val="7A6656B6"/>
    <w:rsid w:val="7A665F09"/>
    <w:rsid w:val="7A6B2B02"/>
    <w:rsid w:val="7A6C3449"/>
    <w:rsid w:val="7A711BBA"/>
    <w:rsid w:val="7A723F72"/>
    <w:rsid w:val="7A743D9C"/>
    <w:rsid w:val="7A7B2C10"/>
    <w:rsid w:val="7A7C5FAF"/>
    <w:rsid w:val="7A7D4128"/>
    <w:rsid w:val="7A7E70A2"/>
    <w:rsid w:val="7A8075BA"/>
    <w:rsid w:val="7A820760"/>
    <w:rsid w:val="7A87742E"/>
    <w:rsid w:val="7A8C1022"/>
    <w:rsid w:val="7A9123B7"/>
    <w:rsid w:val="7A921CA9"/>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0C2969"/>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A4C39"/>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7400A"/>
    <w:rsid w:val="7C0E7D8C"/>
    <w:rsid w:val="7C206952"/>
    <w:rsid w:val="7C2D1C60"/>
    <w:rsid w:val="7C306953"/>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24F07"/>
    <w:rsid w:val="7D060FAD"/>
    <w:rsid w:val="7D0826CA"/>
    <w:rsid w:val="7D0D06E5"/>
    <w:rsid w:val="7D130509"/>
    <w:rsid w:val="7D1946C0"/>
    <w:rsid w:val="7D1D7FE9"/>
    <w:rsid w:val="7D292A41"/>
    <w:rsid w:val="7D2A5CCB"/>
    <w:rsid w:val="7D377B94"/>
    <w:rsid w:val="7D401CAA"/>
    <w:rsid w:val="7D4E195B"/>
    <w:rsid w:val="7D4F4ABB"/>
    <w:rsid w:val="7D515EFA"/>
    <w:rsid w:val="7D5431B0"/>
    <w:rsid w:val="7D5C5444"/>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46BAD"/>
    <w:rsid w:val="7DD7657D"/>
    <w:rsid w:val="7DDA6C39"/>
    <w:rsid w:val="7DE15552"/>
    <w:rsid w:val="7DE16744"/>
    <w:rsid w:val="7DE653AB"/>
    <w:rsid w:val="7DE71438"/>
    <w:rsid w:val="7DEB2C44"/>
    <w:rsid w:val="7DF464FC"/>
    <w:rsid w:val="7DFE63E1"/>
    <w:rsid w:val="7E006A11"/>
    <w:rsid w:val="7E0435EE"/>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9060D"/>
    <w:rsid w:val="7E7E2B41"/>
    <w:rsid w:val="7E8A0B5A"/>
    <w:rsid w:val="7E8D3E75"/>
    <w:rsid w:val="7E9044A6"/>
    <w:rsid w:val="7E922E52"/>
    <w:rsid w:val="7E9C0411"/>
    <w:rsid w:val="7EA10518"/>
    <w:rsid w:val="7EA37537"/>
    <w:rsid w:val="7EA87297"/>
    <w:rsid w:val="7EAE1E9B"/>
    <w:rsid w:val="7EB56059"/>
    <w:rsid w:val="7EB73383"/>
    <w:rsid w:val="7EBD506F"/>
    <w:rsid w:val="7EC22792"/>
    <w:rsid w:val="7EC23404"/>
    <w:rsid w:val="7EC57DB4"/>
    <w:rsid w:val="7ECC4792"/>
    <w:rsid w:val="7ED55364"/>
    <w:rsid w:val="7ED61FF8"/>
    <w:rsid w:val="7ED766B7"/>
    <w:rsid w:val="7EDE52DA"/>
    <w:rsid w:val="7EE53087"/>
    <w:rsid w:val="7EE92EC4"/>
    <w:rsid w:val="7EEB1AD7"/>
    <w:rsid w:val="7EEC4A0C"/>
    <w:rsid w:val="7EEE18E0"/>
    <w:rsid w:val="7EEF5C7E"/>
    <w:rsid w:val="7EF06DAD"/>
    <w:rsid w:val="7EF34983"/>
    <w:rsid w:val="7EF624E9"/>
    <w:rsid w:val="7EFA4392"/>
    <w:rsid w:val="7EFC56FC"/>
    <w:rsid w:val="7F043BD4"/>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B0997"/>
    <w:rsid w:val="7F536DE1"/>
    <w:rsid w:val="7F6339F7"/>
    <w:rsid w:val="7F6F60A5"/>
    <w:rsid w:val="7F8403DB"/>
    <w:rsid w:val="7F8660CD"/>
    <w:rsid w:val="7F8A2E2C"/>
    <w:rsid w:val="7F8D4C69"/>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6</Pages>
  <Words>1379</Words>
  <Characters>6842</Characters>
  <Lines>73</Lines>
  <Paragraphs>20</Paragraphs>
  <TotalTime>0</TotalTime>
  <ScaleCrop>false</ScaleCrop>
  <LinksUpToDate>false</LinksUpToDate>
  <CharactersWithSpaces>8200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2025-02-07T15:16:11Z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